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A4" w:rsidRPr="006D04A5" w:rsidRDefault="00B32BBC" w:rsidP="006D04A5">
      <w:pPr>
        <w:jc w:val="center"/>
        <w:rPr>
          <w:sz w:val="52"/>
          <w:szCs w:val="52"/>
        </w:rPr>
      </w:pPr>
      <w:r w:rsidRPr="006D04A5">
        <w:rPr>
          <w:sz w:val="52"/>
          <w:szCs w:val="52"/>
        </w:rPr>
        <w:t xml:space="preserve">Recent Evidence </w:t>
      </w:r>
      <w:r w:rsidR="006D04A5" w:rsidRPr="006D04A5">
        <w:rPr>
          <w:sz w:val="52"/>
          <w:szCs w:val="52"/>
        </w:rPr>
        <w:t xml:space="preserve">On </w:t>
      </w:r>
      <w:r w:rsidR="0027621A" w:rsidRPr="006D04A5">
        <w:rPr>
          <w:sz w:val="52"/>
          <w:szCs w:val="52"/>
        </w:rPr>
        <w:t xml:space="preserve">Friday </w:t>
      </w:r>
      <w:r w:rsidR="006D04A5" w:rsidRPr="006D04A5">
        <w:rPr>
          <w:sz w:val="52"/>
          <w:szCs w:val="52"/>
        </w:rPr>
        <w:t xml:space="preserve">The </w:t>
      </w:r>
      <w:r w:rsidR="0027621A" w:rsidRPr="006D04A5">
        <w:rPr>
          <w:sz w:val="52"/>
          <w:szCs w:val="52"/>
        </w:rPr>
        <w:t xml:space="preserve">Thirteenth Effect </w:t>
      </w:r>
      <w:r w:rsidR="006D04A5" w:rsidRPr="006D04A5">
        <w:rPr>
          <w:sz w:val="52"/>
          <w:szCs w:val="52"/>
        </w:rPr>
        <w:t>In</w:t>
      </w:r>
      <w:r w:rsidR="006D04A5">
        <w:rPr>
          <w:sz w:val="52"/>
          <w:szCs w:val="52"/>
        </w:rPr>
        <w:t xml:space="preserve"> </w:t>
      </w:r>
      <w:r w:rsidRPr="006D04A5">
        <w:rPr>
          <w:sz w:val="52"/>
          <w:szCs w:val="52"/>
        </w:rPr>
        <w:t>U</w:t>
      </w:r>
      <w:r w:rsidR="006D04A5" w:rsidRPr="006D04A5">
        <w:rPr>
          <w:sz w:val="52"/>
          <w:szCs w:val="52"/>
        </w:rPr>
        <w:t>.</w:t>
      </w:r>
      <w:r w:rsidRPr="006D04A5">
        <w:rPr>
          <w:sz w:val="52"/>
          <w:szCs w:val="52"/>
        </w:rPr>
        <w:t>S</w:t>
      </w:r>
      <w:r w:rsidR="006D04A5" w:rsidRPr="006D04A5">
        <w:rPr>
          <w:sz w:val="52"/>
          <w:szCs w:val="52"/>
        </w:rPr>
        <w:t xml:space="preserve">. </w:t>
      </w:r>
      <w:r w:rsidRPr="006D04A5">
        <w:rPr>
          <w:sz w:val="52"/>
          <w:szCs w:val="52"/>
        </w:rPr>
        <w:t>Stock Returns</w:t>
      </w:r>
    </w:p>
    <w:p w:rsidR="00B91CA4" w:rsidRPr="006D04A5" w:rsidRDefault="00B91CA4" w:rsidP="006D04A5">
      <w:pPr>
        <w:jc w:val="center"/>
        <w:rPr>
          <w:sz w:val="18"/>
          <w:szCs w:val="20"/>
        </w:rPr>
      </w:pPr>
      <w:r w:rsidRPr="006D04A5">
        <w:rPr>
          <w:sz w:val="18"/>
          <w:szCs w:val="20"/>
        </w:rPr>
        <w:t>Jayen B. Patel, Adelphi University</w:t>
      </w:r>
      <w:r w:rsidR="006D04A5">
        <w:rPr>
          <w:sz w:val="18"/>
          <w:szCs w:val="20"/>
        </w:rPr>
        <w:t>, USA</w:t>
      </w:r>
    </w:p>
    <w:p w:rsidR="00B91CA4" w:rsidRPr="006D04A5" w:rsidRDefault="00B91CA4" w:rsidP="006D04A5">
      <w:pPr>
        <w:jc w:val="center"/>
        <w:rPr>
          <w:sz w:val="20"/>
          <w:szCs w:val="20"/>
        </w:rPr>
      </w:pPr>
    </w:p>
    <w:p w:rsidR="00B2711F" w:rsidRPr="006D04A5" w:rsidRDefault="00B2711F" w:rsidP="006D04A5">
      <w:pPr>
        <w:jc w:val="center"/>
        <w:rPr>
          <w:sz w:val="20"/>
          <w:szCs w:val="20"/>
        </w:rPr>
      </w:pPr>
    </w:p>
    <w:p w:rsidR="00396206" w:rsidRPr="006D04A5" w:rsidRDefault="002B6DCE" w:rsidP="006D04A5">
      <w:pPr>
        <w:jc w:val="center"/>
        <w:rPr>
          <w:b/>
          <w:sz w:val="20"/>
          <w:szCs w:val="20"/>
        </w:rPr>
      </w:pPr>
      <w:r w:rsidRPr="006D04A5">
        <w:rPr>
          <w:b/>
          <w:caps/>
          <w:sz w:val="20"/>
          <w:szCs w:val="20"/>
        </w:rPr>
        <w:t>Abstract</w:t>
      </w:r>
    </w:p>
    <w:p w:rsidR="002B6DCE" w:rsidRPr="006D04A5" w:rsidRDefault="002B6DCE" w:rsidP="006D04A5">
      <w:pPr>
        <w:jc w:val="center"/>
        <w:rPr>
          <w:sz w:val="20"/>
          <w:szCs w:val="20"/>
        </w:rPr>
      </w:pPr>
    </w:p>
    <w:p w:rsidR="002B6DCE" w:rsidRPr="006D04A5" w:rsidRDefault="006C247E" w:rsidP="006D04A5">
      <w:pPr>
        <w:ind w:left="720" w:right="720"/>
        <w:jc w:val="both"/>
        <w:rPr>
          <w:i/>
          <w:sz w:val="20"/>
          <w:szCs w:val="20"/>
        </w:rPr>
      </w:pPr>
      <w:r w:rsidRPr="006D04A5">
        <w:rPr>
          <w:i/>
          <w:sz w:val="20"/>
          <w:szCs w:val="20"/>
        </w:rPr>
        <w:t>W</w:t>
      </w:r>
      <w:r w:rsidR="00620DAD" w:rsidRPr="006D04A5">
        <w:rPr>
          <w:i/>
          <w:sz w:val="20"/>
          <w:szCs w:val="20"/>
        </w:rPr>
        <w:t xml:space="preserve">e </w:t>
      </w:r>
      <w:r w:rsidR="00F06FE5" w:rsidRPr="006D04A5">
        <w:rPr>
          <w:i/>
          <w:sz w:val="20"/>
          <w:szCs w:val="20"/>
        </w:rPr>
        <w:t>examine Friday the thirteenth effect in U.S. stock returns f</w:t>
      </w:r>
      <w:r w:rsidR="00F7315C" w:rsidRPr="006D04A5">
        <w:rPr>
          <w:i/>
          <w:sz w:val="20"/>
          <w:szCs w:val="20"/>
        </w:rPr>
        <w:t xml:space="preserve">rom </w:t>
      </w:r>
      <w:r w:rsidR="00F06FE5" w:rsidRPr="006D04A5">
        <w:rPr>
          <w:i/>
          <w:sz w:val="20"/>
          <w:szCs w:val="20"/>
        </w:rPr>
        <w:t xml:space="preserve">January 1950 to December 2007.  </w:t>
      </w:r>
      <w:r w:rsidR="0055478C" w:rsidRPr="006D04A5">
        <w:rPr>
          <w:i/>
          <w:sz w:val="20"/>
          <w:szCs w:val="20"/>
        </w:rPr>
        <w:t xml:space="preserve">Our results reveal that </w:t>
      </w:r>
      <w:r w:rsidR="001B6CD2" w:rsidRPr="006D04A5">
        <w:rPr>
          <w:i/>
          <w:sz w:val="20"/>
          <w:szCs w:val="20"/>
        </w:rPr>
        <w:t xml:space="preserve">stock </w:t>
      </w:r>
      <w:r w:rsidR="0031081B" w:rsidRPr="006D04A5">
        <w:rPr>
          <w:i/>
          <w:sz w:val="20"/>
          <w:szCs w:val="20"/>
        </w:rPr>
        <w:t xml:space="preserve">returns on </w:t>
      </w:r>
      <w:r w:rsidR="00620DAD" w:rsidRPr="006D04A5">
        <w:rPr>
          <w:i/>
          <w:sz w:val="20"/>
          <w:szCs w:val="20"/>
        </w:rPr>
        <w:t>Friday the thirteenth are no</w:t>
      </w:r>
      <w:r w:rsidRPr="006D04A5">
        <w:rPr>
          <w:i/>
          <w:sz w:val="20"/>
          <w:szCs w:val="20"/>
        </w:rPr>
        <w:t xml:space="preserve">t </w:t>
      </w:r>
      <w:r w:rsidR="000E0E2D" w:rsidRPr="006D04A5">
        <w:rPr>
          <w:i/>
          <w:sz w:val="20"/>
          <w:szCs w:val="20"/>
        </w:rPr>
        <w:t xml:space="preserve">significantly </w:t>
      </w:r>
      <w:r w:rsidRPr="006D04A5">
        <w:rPr>
          <w:i/>
          <w:sz w:val="20"/>
          <w:szCs w:val="20"/>
        </w:rPr>
        <w:t>lower than that</w:t>
      </w:r>
      <w:r w:rsidR="00620DAD" w:rsidRPr="006D04A5">
        <w:rPr>
          <w:i/>
          <w:sz w:val="20"/>
          <w:szCs w:val="20"/>
        </w:rPr>
        <w:t xml:space="preserve"> of other</w:t>
      </w:r>
      <w:r w:rsidR="00F10C01" w:rsidRPr="006D04A5">
        <w:rPr>
          <w:i/>
          <w:sz w:val="20"/>
          <w:szCs w:val="20"/>
        </w:rPr>
        <w:t xml:space="preserve"> Fridays for the overall period</w:t>
      </w:r>
      <w:r w:rsidR="00620DAD" w:rsidRPr="006D04A5">
        <w:rPr>
          <w:i/>
          <w:sz w:val="20"/>
          <w:szCs w:val="20"/>
        </w:rPr>
        <w:t xml:space="preserve">.  </w:t>
      </w:r>
      <w:r w:rsidR="00C84F87" w:rsidRPr="006D04A5">
        <w:rPr>
          <w:i/>
          <w:sz w:val="20"/>
          <w:szCs w:val="20"/>
        </w:rPr>
        <w:t>When we exam</w:t>
      </w:r>
      <w:r w:rsidR="0031081B" w:rsidRPr="006D04A5">
        <w:rPr>
          <w:i/>
          <w:sz w:val="20"/>
          <w:szCs w:val="20"/>
        </w:rPr>
        <w:t>ine th</w:t>
      </w:r>
      <w:r w:rsidR="00F06FE5" w:rsidRPr="006D04A5">
        <w:rPr>
          <w:i/>
          <w:sz w:val="20"/>
          <w:szCs w:val="20"/>
        </w:rPr>
        <w:t xml:space="preserve">e </w:t>
      </w:r>
      <w:r w:rsidR="0031081B" w:rsidRPr="006D04A5">
        <w:rPr>
          <w:i/>
          <w:sz w:val="20"/>
          <w:szCs w:val="20"/>
        </w:rPr>
        <w:t xml:space="preserve">differences </w:t>
      </w:r>
      <w:r w:rsidR="00C84F87" w:rsidRPr="006D04A5">
        <w:rPr>
          <w:i/>
          <w:sz w:val="20"/>
          <w:szCs w:val="20"/>
        </w:rPr>
        <w:t xml:space="preserve">by decades, </w:t>
      </w:r>
      <w:r w:rsidR="0055478C" w:rsidRPr="006D04A5">
        <w:rPr>
          <w:i/>
          <w:sz w:val="20"/>
          <w:szCs w:val="20"/>
        </w:rPr>
        <w:t xml:space="preserve">we find </w:t>
      </w:r>
      <w:r w:rsidR="00F7315C" w:rsidRPr="006D04A5">
        <w:rPr>
          <w:i/>
          <w:sz w:val="20"/>
          <w:szCs w:val="20"/>
        </w:rPr>
        <w:t xml:space="preserve">that </w:t>
      </w:r>
      <w:r w:rsidR="00B569C8" w:rsidRPr="006D04A5">
        <w:rPr>
          <w:i/>
          <w:sz w:val="20"/>
          <w:szCs w:val="20"/>
        </w:rPr>
        <w:t xml:space="preserve">Friday the thirteenth </w:t>
      </w:r>
      <w:r w:rsidR="00946802" w:rsidRPr="006D04A5">
        <w:rPr>
          <w:i/>
          <w:sz w:val="20"/>
          <w:szCs w:val="20"/>
        </w:rPr>
        <w:t xml:space="preserve">returns are significantly lower than returns of other Fridays </w:t>
      </w:r>
      <w:r w:rsidR="00F7315C" w:rsidRPr="006D04A5">
        <w:rPr>
          <w:i/>
          <w:sz w:val="20"/>
          <w:szCs w:val="20"/>
        </w:rPr>
        <w:t xml:space="preserve">in </w:t>
      </w:r>
      <w:r w:rsidR="00946802" w:rsidRPr="006D04A5">
        <w:rPr>
          <w:i/>
          <w:sz w:val="20"/>
          <w:szCs w:val="20"/>
        </w:rPr>
        <w:t>o</w:t>
      </w:r>
      <w:r w:rsidR="00C84F87" w:rsidRPr="006D04A5">
        <w:rPr>
          <w:i/>
          <w:sz w:val="20"/>
          <w:szCs w:val="20"/>
        </w:rPr>
        <w:t xml:space="preserve">nly </w:t>
      </w:r>
      <w:r w:rsidR="00F7315C" w:rsidRPr="006D04A5">
        <w:rPr>
          <w:i/>
          <w:sz w:val="20"/>
          <w:szCs w:val="20"/>
        </w:rPr>
        <w:t>one out of the six sub-periods</w:t>
      </w:r>
      <w:r w:rsidR="00C84F87" w:rsidRPr="006D04A5">
        <w:rPr>
          <w:i/>
          <w:sz w:val="20"/>
          <w:szCs w:val="20"/>
        </w:rPr>
        <w:t xml:space="preserve">.  </w:t>
      </w:r>
      <w:r w:rsidR="00541C5A" w:rsidRPr="006D04A5">
        <w:rPr>
          <w:i/>
          <w:sz w:val="20"/>
          <w:szCs w:val="20"/>
        </w:rPr>
        <w:t>We</w:t>
      </w:r>
      <w:r w:rsidR="00B569C8" w:rsidRPr="006D04A5">
        <w:rPr>
          <w:i/>
          <w:sz w:val="20"/>
          <w:szCs w:val="20"/>
        </w:rPr>
        <w:t xml:space="preserve"> therefore </w:t>
      </w:r>
      <w:r w:rsidR="00AD512A" w:rsidRPr="006D04A5">
        <w:rPr>
          <w:i/>
          <w:sz w:val="20"/>
          <w:szCs w:val="20"/>
        </w:rPr>
        <w:t xml:space="preserve">conclude </w:t>
      </w:r>
      <w:r w:rsidRPr="006D04A5">
        <w:rPr>
          <w:i/>
          <w:sz w:val="20"/>
          <w:szCs w:val="20"/>
        </w:rPr>
        <w:t xml:space="preserve">that </w:t>
      </w:r>
      <w:r w:rsidR="00D61FC9" w:rsidRPr="006D04A5">
        <w:rPr>
          <w:i/>
          <w:sz w:val="20"/>
          <w:szCs w:val="20"/>
        </w:rPr>
        <w:t>U.S stock returns do</w:t>
      </w:r>
      <w:r w:rsidRPr="006D04A5">
        <w:rPr>
          <w:i/>
          <w:sz w:val="20"/>
          <w:szCs w:val="20"/>
        </w:rPr>
        <w:t xml:space="preserve"> not show evidence of a Friday the thirteenth effect.</w:t>
      </w:r>
    </w:p>
    <w:p w:rsidR="00C84F87" w:rsidRPr="006D04A5" w:rsidRDefault="00C84F87" w:rsidP="006D04A5">
      <w:pPr>
        <w:jc w:val="both"/>
        <w:rPr>
          <w:sz w:val="20"/>
          <w:szCs w:val="20"/>
        </w:rPr>
      </w:pPr>
    </w:p>
    <w:p w:rsidR="00C84F87" w:rsidRPr="006D04A5" w:rsidRDefault="00C84F87" w:rsidP="006D04A5">
      <w:pPr>
        <w:ind w:right="450"/>
        <w:jc w:val="both"/>
        <w:rPr>
          <w:sz w:val="20"/>
          <w:szCs w:val="20"/>
        </w:rPr>
      </w:pPr>
      <w:r w:rsidRPr="006D04A5">
        <w:rPr>
          <w:b/>
          <w:sz w:val="20"/>
          <w:szCs w:val="20"/>
        </w:rPr>
        <w:t>Keywords:</w:t>
      </w:r>
      <w:r w:rsidRPr="006D04A5">
        <w:rPr>
          <w:sz w:val="20"/>
          <w:szCs w:val="20"/>
        </w:rPr>
        <w:t xml:space="preserve">  Friday the thirteenth</w:t>
      </w:r>
      <w:r w:rsidR="000D2026" w:rsidRPr="006D04A5">
        <w:rPr>
          <w:sz w:val="20"/>
          <w:szCs w:val="20"/>
        </w:rPr>
        <w:t xml:space="preserve"> effect</w:t>
      </w:r>
      <w:r w:rsidRPr="006D04A5">
        <w:rPr>
          <w:sz w:val="20"/>
          <w:szCs w:val="20"/>
        </w:rPr>
        <w:t>, stock market efficiency, stock market anomalies</w:t>
      </w:r>
      <w:r w:rsidR="00436872" w:rsidRPr="006D04A5">
        <w:rPr>
          <w:sz w:val="20"/>
          <w:szCs w:val="20"/>
        </w:rPr>
        <w:t>.</w:t>
      </w:r>
    </w:p>
    <w:p w:rsidR="000E01CE" w:rsidRPr="006D04A5" w:rsidRDefault="000E01CE" w:rsidP="006D04A5">
      <w:pPr>
        <w:jc w:val="both"/>
        <w:rPr>
          <w:sz w:val="20"/>
          <w:szCs w:val="20"/>
        </w:rPr>
      </w:pPr>
    </w:p>
    <w:p w:rsidR="00B2711F" w:rsidRPr="006D04A5" w:rsidRDefault="00B2711F" w:rsidP="006D04A5">
      <w:pPr>
        <w:jc w:val="both"/>
        <w:rPr>
          <w:sz w:val="20"/>
          <w:szCs w:val="20"/>
        </w:rPr>
      </w:pPr>
    </w:p>
    <w:p w:rsidR="00CF4766" w:rsidRPr="006D04A5" w:rsidRDefault="002B6DCE" w:rsidP="006D04A5">
      <w:pPr>
        <w:jc w:val="both"/>
        <w:rPr>
          <w:b/>
          <w:sz w:val="20"/>
          <w:szCs w:val="20"/>
        </w:rPr>
      </w:pPr>
      <w:r w:rsidRPr="006D04A5">
        <w:rPr>
          <w:b/>
          <w:caps/>
          <w:sz w:val="20"/>
          <w:szCs w:val="20"/>
        </w:rPr>
        <w:t>Introduction</w:t>
      </w:r>
    </w:p>
    <w:p w:rsidR="00CF4766" w:rsidRPr="006D04A5" w:rsidRDefault="00CF4766" w:rsidP="006D04A5">
      <w:pPr>
        <w:jc w:val="both"/>
        <w:rPr>
          <w:sz w:val="20"/>
          <w:szCs w:val="20"/>
        </w:rPr>
      </w:pPr>
    </w:p>
    <w:p w:rsidR="006D04A5" w:rsidRPr="006D04A5" w:rsidRDefault="006D04A5" w:rsidP="006D04A5">
      <w:pPr>
        <w:keepNext/>
        <w:framePr w:dropCap="drop" w:lines="3" w:hSpace="576" w:wrap="around" w:vAnchor="text" w:hAnchor="text"/>
        <w:spacing w:line="689" w:lineRule="exact"/>
        <w:jc w:val="both"/>
        <w:textAlignment w:val="baseline"/>
        <w:rPr>
          <w:rFonts w:ascii="Edwardian Script ITC" w:hAnsi="Edwardian Script ITC"/>
          <w:position w:val="-8"/>
          <w:sz w:val="87"/>
          <w:szCs w:val="20"/>
        </w:rPr>
      </w:pPr>
      <w:r w:rsidRPr="006D04A5">
        <w:rPr>
          <w:rFonts w:ascii="Edwardian Script ITC" w:hAnsi="Edwardian Script ITC"/>
          <w:position w:val="-8"/>
          <w:sz w:val="87"/>
          <w:szCs w:val="20"/>
        </w:rPr>
        <w:t>A</w:t>
      </w:r>
    </w:p>
    <w:p w:rsidR="00C850A1" w:rsidRPr="006D04A5" w:rsidRDefault="007C63C3" w:rsidP="006D04A5">
      <w:pPr>
        <w:jc w:val="both"/>
        <w:rPr>
          <w:sz w:val="20"/>
          <w:szCs w:val="20"/>
        </w:rPr>
      </w:pPr>
      <w:r w:rsidRPr="006D04A5">
        <w:rPr>
          <w:sz w:val="20"/>
          <w:szCs w:val="20"/>
        </w:rPr>
        <w:t xml:space="preserve">n interesting </w:t>
      </w:r>
      <w:r w:rsidR="009978EB" w:rsidRPr="006D04A5">
        <w:rPr>
          <w:sz w:val="20"/>
          <w:szCs w:val="20"/>
        </w:rPr>
        <w:t xml:space="preserve">stock market </w:t>
      </w:r>
      <w:r w:rsidRPr="006D04A5">
        <w:rPr>
          <w:sz w:val="20"/>
          <w:szCs w:val="20"/>
        </w:rPr>
        <w:t xml:space="preserve">anomaly uncovered by Kolb and Rodriguez (1987) was Friday the thirteenth effect.  </w:t>
      </w:r>
      <w:r w:rsidR="00773800" w:rsidRPr="006D04A5">
        <w:rPr>
          <w:sz w:val="20"/>
          <w:szCs w:val="20"/>
        </w:rPr>
        <w:t xml:space="preserve">Kolb and Rodriguez state that it is well documented that Friday returns are relatively greater than other trading days of the week.  However, </w:t>
      </w:r>
      <w:r w:rsidR="009F4CBB" w:rsidRPr="006D04A5">
        <w:rPr>
          <w:sz w:val="20"/>
          <w:szCs w:val="20"/>
        </w:rPr>
        <w:t>they</w:t>
      </w:r>
      <w:r w:rsidRPr="006D04A5">
        <w:rPr>
          <w:sz w:val="20"/>
          <w:szCs w:val="20"/>
        </w:rPr>
        <w:t xml:space="preserve"> were curious if superstition was</w:t>
      </w:r>
      <w:r w:rsidR="009F4CBB" w:rsidRPr="006D04A5">
        <w:rPr>
          <w:sz w:val="20"/>
          <w:szCs w:val="20"/>
        </w:rPr>
        <w:t xml:space="preserve"> a factor in the behavior of stock market returns.  </w:t>
      </w:r>
      <w:r w:rsidR="009978EB" w:rsidRPr="006D04A5">
        <w:rPr>
          <w:sz w:val="20"/>
          <w:szCs w:val="20"/>
        </w:rPr>
        <w:t>Therefore, they</w:t>
      </w:r>
      <w:r w:rsidR="009F4CBB" w:rsidRPr="006D04A5">
        <w:rPr>
          <w:sz w:val="20"/>
          <w:szCs w:val="20"/>
        </w:rPr>
        <w:t xml:space="preserve"> investigated </w:t>
      </w:r>
      <w:r w:rsidR="00773800" w:rsidRPr="006D04A5">
        <w:rPr>
          <w:sz w:val="20"/>
          <w:szCs w:val="20"/>
        </w:rPr>
        <w:t>if return</w:t>
      </w:r>
      <w:r w:rsidR="009F4CBB" w:rsidRPr="006D04A5">
        <w:rPr>
          <w:sz w:val="20"/>
          <w:szCs w:val="20"/>
        </w:rPr>
        <w:t xml:space="preserve">s on Friday the thirteenth </w:t>
      </w:r>
      <w:r w:rsidR="00453382" w:rsidRPr="006D04A5">
        <w:rPr>
          <w:sz w:val="20"/>
          <w:szCs w:val="20"/>
        </w:rPr>
        <w:t>w</w:t>
      </w:r>
      <w:r w:rsidR="009F4CBB" w:rsidRPr="006D04A5">
        <w:rPr>
          <w:sz w:val="20"/>
          <w:szCs w:val="20"/>
        </w:rPr>
        <w:t>ere</w:t>
      </w:r>
      <w:r w:rsidR="00773800" w:rsidRPr="006D04A5">
        <w:rPr>
          <w:sz w:val="20"/>
          <w:szCs w:val="20"/>
        </w:rPr>
        <w:t xml:space="preserve"> </w:t>
      </w:r>
      <w:r w:rsidR="00453382" w:rsidRPr="006D04A5">
        <w:rPr>
          <w:sz w:val="20"/>
          <w:szCs w:val="20"/>
        </w:rPr>
        <w:t xml:space="preserve">actually </w:t>
      </w:r>
      <w:r w:rsidR="00773800" w:rsidRPr="006D04A5">
        <w:rPr>
          <w:sz w:val="20"/>
          <w:szCs w:val="20"/>
        </w:rPr>
        <w:t>lower than</w:t>
      </w:r>
      <w:r w:rsidR="009978EB" w:rsidRPr="006D04A5">
        <w:rPr>
          <w:sz w:val="20"/>
          <w:szCs w:val="20"/>
        </w:rPr>
        <w:t xml:space="preserve"> that of</w:t>
      </w:r>
      <w:r w:rsidR="00773800" w:rsidRPr="006D04A5">
        <w:rPr>
          <w:sz w:val="20"/>
          <w:szCs w:val="20"/>
        </w:rPr>
        <w:t xml:space="preserve"> other Fridays.  </w:t>
      </w:r>
      <w:r w:rsidRPr="006D04A5">
        <w:rPr>
          <w:sz w:val="20"/>
          <w:szCs w:val="20"/>
        </w:rPr>
        <w:t>T</w:t>
      </w:r>
      <w:r w:rsidR="00453382" w:rsidRPr="006D04A5">
        <w:rPr>
          <w:sz w:val="20"/>
          <w:szCs w:val="20"/>
        </w:rPr>
        <w:t xml:space="preserve">hey examined CRSP </w:t>
      </w:r>
      <w:r w:rsidR="00773800" w:rsidRPr="006D04A5">
        <w:rPr>
          <w:sz w:val="20"/>
          <w:szCs w:val="20"/>
        </w:rPr>
        <w:t xml:space="preserve">equally </w:t>
      </w:r>
      <w:r w:rsidR="00453382" w:rsidRPr="006D04A5">
        <w:rPr>
          <w:sz w:val="20"/>
          <w:szCs w:val="20"/>
        </w:rPr>
        <w:t xml:space="preserve">and value </w:t>
      </w:r>
      <w:r w:rsidR="00773800" w:rsidRPr="006D04A5">
        <w:rPr>
          <w:sz w:val="20"/>
          <w:szCs w:val="20"/>
        </w:rPr>
        <w:t xml:space="preserve">weighted </w:t>
      </w:r>
      <w:r w:rsidR="00453382" w:rsidRPr="006D04A5">
        <w:rPr>
          <w:sz w:val="20"/>
          <w:szCs w:val="20"/>
        </w:rPr>
        <w:t xml:space="preserve">stock </w:t>
      </w:r>
      <w:r w:rsidR="00773800" w:rsidRPr="006D04A5">
        <w:rPr>
          <w:sz w:val="20"/>
          <w:szCs w:val="20"/>
        </w:rPr>
        <w:t xml:space="preserve">indices </w:t>
      </w:r>
      <w:r w:rsidR="00C8417D" w:rsidRPr="006D04A5">
        <w:rPr>
          <w:sz w:val="20"/>
          <w:szCs w:val="20"/>
        </w:rPr>
        <w:t xml:space="preserve">from </w:t>
      </w:r>
      <w:r w:rsidR="008D577E" w:rsidRPr="006D04A5">
        <w:rPr>
          <w:sz w:val="20"/>
          <w:szCs w:val="20"/>
        </w:rPr>
        <w:t xml:space="preserve">1962 to </w:t>
      </w:r>
      <w:r w:rsidR="00C8417D" w:rsidRPr="006D04A5">
        <w:rPr>
          <w:sz w:val="20"/>
          <w:szCs w:val="20"/>
        </w:rPr>
        <w:t xml:space="preserve">1985 </w:t>
      </w:r>
      <w:r w:rsidRPr="006D04A5">
        <w:rPr>
          <w:sz w:val="20"/>
          <w:szCs w:val="20"/>
        </w:rPr>
        <w:t xml:space="preserve">and </w:t>
      </w:r>
      <w:r w:rsidR="00C70AC2" w:rsidRPr="006D04A5">
        <w:rPr>
          <w:sz w:val="20"/>
          <w:szCs w:val="20"/>
        </w:rPr>
        <w:t xml:space="preserve">found </w:t>
      </w:r>
      <w:r w:rsidR="00853185" w:rsidRPr="006D04A5">
        <w:rPr>
          <w:sz w:val="20"/>
          <w:szCs w:val="20"/>
        </w:rPr>
        <w:t>stock returns on Frid</w:t>
      </w:r>
      <w:r w:rsidR="00C70AC2" w:rsidRPr="006D04A5">
        <w:rPr>
          <w:sz w:val="20"/>
          <w:szCs w:val="20"/>
        </w:rPr>
        <w:t xml:space="preserve">ays </w:t>
      </w:r>
      <w:r w:rsidR="00453382" w:rsidRPr="006D04A5">
        <w:rPr>
          <w:sz w:val="20"/>
          <w:szCs w:val="20"/>
        </w:rPr>
        <w:t>of</w:t>
      </w:r>
      <w:r w:rsidR="00C8417D" w:rsidRPr="006D04A5">
        <w:rPr>
          <w:sz w:val="20"/>
          <w:szCs w:val="20"/>
        </w:rPr>
        <w:t xml:space="preserve"> </w:t>
      </w:r>
      <w:r w:rsidR="00C70AC2" w:rsidRPr="006D04A5">
        <w:rPr>
          <w:sz w:val="20"/>
          <w:szCs w:val="20"/>
        </w:rPr>
        <w:t>thirteenth we</w:t>
      </w:r>
      <w:r w:rsidR="00853185" w:rsidRPr="006D04A5">
        <w:rPr>
          <w:sz w:val="20"/>
          <w:szCs w:val="20"/>
        </w:rPr>
        <w:t xml:space="preserve">re significantly lower than </w:t>
      </w:r>
      <w:r w:rsidR="00C8417D" w:rsidRPr="006D04A5">
        <w:rPr>
          <w:sz w:val="20"/>
          <w:szCs w:val="20"/>
        </w:rPr>
        <w:t xml:space="preserve">other </w:t>
      </w:r>
      <w:r w:rsidR="00853185" w:rsidRPr="006D04A5">
        <w:rPr>
          <w:sz w:val="20"/>
          <w:szCs w:val="20"/>
        </w:rPr>
        <w:t>Fridays</w:t>
      </w:r>
      <w:r w:rsidR="00C8417D" w:rsidRPr="006D04A5">
        <w:rPr>
          <w:sz w:val="20"/>
          <w:szCs w:val="20"/>
        </w:rPr>
        <w:t>.</w:t>
      </w:r>
      <w:r w:rsidR="00453382" w:rsidRPr="006D04A5">
        <w:rPr>
          <w:sz w:val="20"/>
          <w:szCs w:val="20"/>
        </w:rPr>
        <w:t xml:space="preserve">  They concluded </w:t>
      </w:r>
      <w:r w:rsidR="009978EB" w:rsidRPr="006D04A5">
        <w:rPr>
          <w:sz w:val="20"/>
          <w:szCs w:val="20"/>
        </w:rPr>
        <w:t xml:space="preserve">that U.S. stock returns exhibit </w:t>
      </w:r>
      <w:r w:rsidR="00453382" w:rsidRPr="006D04A5">
        <w:rPr>
          <w:sz w:val="20"/>
          <w:szCs w:val="20"/>
        </w:rPr>
        <w:t>a Friday the thirteenth effect.</w:t>
      </w:r>
    </w:p>
    <w:p w:rsidR="00853185" w:rsidRPr="006D04A5" w:rsidRDefault="00853185" w:rsidP="006D04A5">
      <w:pPr>
        <w:jc w:val="both"/>
        <w:rPr>
          <w:sz w:val="20"/>
          <w:szCs w:val="20"/>
        </w:rPr>
      </w:pPr>
    </w:p>
    <w:p w:rsidR="00B64D8B" w:rsidRPr="006D04A5" w:rsidRDefault="00853185" w:rsidP="006D04A5">
      <w:pPr>
        <w:ind w:firstLine="720"/>
        <w:jc w:val="both"/>
        <w:rPr>
          <w:sz w:val="20"/>
          <w:szCs w:val="20"/>
        </w:rPr>
      </w:pPr>
      <w:r w:rsidRPr="006D04A5">
        <w:rPr>
          <w:sz w:val="20"/>
          <w:szCs w:val="20"/>
        </w:rPr>
        <w:t xml:space="preserve">Dyl and Maberly (1988) </w:t>
      </w:r>
      <w:r w:rsidR="00735C5C" w:rsidRPr="006D04A5">
        <w:rPr>
          <w:sz w:val="20"/>
          <w:szCs w:val="20"/>
        </w:rPr>
        <w:t xml:space="preserve">reexamined Friday the thirteenth effect </w:t>
      </w:r>
      <w:r w:rsidR="00C70AC2" w:rsidRPr="006D04A5">
        <w:rPr>
          <w:sz w:val="20"/>
          <w:szCs w:val="20"/>
        </w:rPr>
        <w:t xml:space="preserve">indicating </w:t>
      </w:r>
      <w:r w:rsidR="00B83A40" w:rsidRPr="006D04A5">
        <w:rPr>
          <w:sz w:val="20"/>
          <w:szCs w:val="20"/>
        </w:rPr>
        <w:t>that we should be skeptical of existence of seasonal anomalies until they are tested on different data sets and time periods.</w:t>
      </w:r>
      <w:r w:rsidR="00C70AC2" w:rsidRPr="006D04A5">
        <w:rPr>
          <w:sz w:val="20"/>
          <w:szCs w:val="20"/>
        </w:rPr>
        <w:t xml:space="preserve">  They </w:t>
      </w:r>
      <w:r w:rsidR="00962DD1" w:rsidRPr="006D04A5">
        <w:rPr>
          <w:sz w:val="20"/>
          <w:szCs w:val="20"/>
        </w:rPr>
        <w:t>examined the effect on Standard and Poor’</w:t>
      </w:r>
      <w:r w:rsidR="000E2B0F" w:rsidRPr="006D04A5">
        <w:rPr>
          <w:sz w:val="20"/>
          <w:szCs w:val="20"/>
        </w:rPr>
        <w:t>s index for the period</w:t>
      </w:r>
      <w:r w:rsidR="00C70AC2" w:rsidRPr="006D04A5">
        <w:rPr>
          <w:sz w:val="20"/>
          <w:szCs w:val="20"/>
        </w:rPr>
        <w:t xml:space="preserve"> 1940 through 1987.  T</w:t>
      </w:r>
      <w:r w:rsidR="00962DD1" w:rsidRPr="006D04A5">
        <w:rPr>
          <w:sz w:val="20"/>
          <w:szCs w:val="20"/>
        </w:rPr>
        <w:t xml:space="preserve">hey found returns on Friday the thirteenth were actually higher than that of other </w:t>
      </w:r>
      <w:r w:rsidR="009978EB" w:rsidRPr="006D04A5">
        <w:rPr>
          <w:sz w:val="20"/>
          <w:szCs w:val="20"/>
        </w:rPr>
        <w:t>Fridays;</w:t>
      </w:r>
      <w:r w:rsidR="00CA197B" w:rsidRPr="006D04A5">
        <w:rPr>
          <w:sz w:val="20"/>
          <w:szCs w:val="20"/>
        </w:rPr>
        <w:t xml:space="preserve"> h</w:t>
      </w:r>
      <w:r w:rsidR="00962DD1" w:rsidRPr="006D04A5">
        <w:rPr>
          <w:sz w:val="20"/>
          <w:szCs w:val="20"/>
        </w:rPr>
        <w:t xml:space="preserve">owever, the differences were not statistically different.  </w:t>
      </w:r>
      <w:r w:rsidR="00B64D8B" w:rsidRPr="006D04A5">
        <w:rPr>
          <w:sz w:val="20"/>
          <w:szCs w:val="20"/>
        </w:rPr>
        <w:t xml:space="preserve">When they examined this effect by sub-periods, Friday the thirteenth returns were higher in four of the five sub-periods.  The only sub-period when Friday the thirteenth returns were </w:t>
      </w:r>
      <w:r w:rsidR="00C70AC2" w:rsidRPr="006D04A5">
        <w:rPr>
          <w:sz w:val="20"/>
          <w:szCs w:val="20"/>
        </w:rPr>
        <w:t xml:space="preserve">significantly </w:t>
      </w:r>
      <w:r w:rsidR="00B64D8B" w:rsidRPr="006D04A5">
        <w:rPr>
          <w:sz w:val="20"/>
          <w:szCs w:val="20"/>
        </w:rPr>
        <w:t xml:space="preserve">lower than other Fridays was </w:t>
      </w:r>
      <w:r w:rsidR="00453382" w:rsidRPr="006D04A5">
        <w:rPr>
          <w:sz w:val="20"/>
          <w:szCs w:val="20"/>
        </w:rPr>
        <w:t xml:space="preserve">during </w:t>
      </w:r>
      <w:r w:rsidR="00B64D8B" w:rsidRPr="006D04A5">
        <w:rPr>
          <w:sz w:val="20"/>
          <w:szCs w:val="20"/>
        </w:rPr>
        <w:t>the 1970-79 sub-period.</w:t>
      </w:r>
      <w:r w:rsidR="00C70AC2" w:rsidRPr="006D04A5">
        <w:rPr>
          <w:sz w:val="20"/>
          <w:szCs w:val="20"/>
        </w:rPr>
        <w:t xml:space="preserve">  </w:t>
      </w:r>
      <w:r w:rsidR="007C63C3" w:rsidRPr="006D04A5">
        <w:rPr>
          <w:sz w:val="20"/>
          <w:szCs w:val="20"/>
        </w:rPr>
        <w:t xml:space="preserve">Dyl and Maberly </w:t>
      </w:r>
      <w:r w:rsidR="00453382" w:rsidRPr="006D04A5">
        <w:rPr>
          <w:sz w:val="20"/>
          <w:szCs w:val="20"/>
        </w:rPr>
        <w:t xml:space="preserve">concluded </w:t>
      </w:r>
      <w:r w:rsidR="007C63C3" w:rsidRPr="006D04A5">
        <w:rPr>
          <w:sz w:val="20"/>
          <w:szCs w:val="20"/>
        </w:rPr>
        <w:t>that this</w:t>
      </w:r>
      <w:r w:rsidR="00B64D8B" w:rsidRPr="006D04A5">
        <w:rPr>
          <w:sz w:val="20"/>
          <w:szCs w:val="20"/>
        </w:rPr>
        <w:t xml:space="preserve"> effect is not per</w:t>
      </w:r>
      <w:r w:rsidR="00751945" w:rsidRPr="006D04A5">
        <w:rPr>
          <w:sz w:val="20"/>
          <w:szCs w:val="20"/>
        </w:rPr>
        <w:t xml:space="preserve">vasive among sub-periods and </w:t>
      </w:r>
      <w:r w:rsidR="00B64D8B" w:rsidRPr="006D04A5">
        <w:rPr>
          <w:sz w:val="20"/>
          <w:szCs w:val="20"/>
        </w:rPr>
        <w:t>there is no Friday the thirteenth effect.</w:t>
      </w:r>
    </w:p>
    <w:p w:rsidR="00B64D8B" w:rsidRPr="006D04A5" w:rsidRDefault="00B64D8B" w:rsidP="006D04A5">
      <w:pPr>
        <w:jc w:val="both"/>
        <w:rPr>
          <w:sz w:val="20"/>
          <w:szCs w:val="20"/>
        </w:rPr>
      </w:pPr>
    </w:p>
    <w:p w:rsidR="00853185" w:rsidRPr="006D04A5" w:rsidRDefault="00D54FEF" w:rsidP="006D04A5">
      <w:pPr>
        <w:ind w:firstLine="720"/>
        <w:jc w:val="both"/>
        <w:rPr>
          <w:sz w:val="20"/>
          <w:szCs w:val="20"/>
        </w:rPr>
      </w:pPr>
      <w:r w:rsidRPr="006D04A5">
        <w:rPr>
          <w:sz w:val="20"/>
          <w:szCs w:val="20"/>
        </w:rPr>
        <w:t xml:space="preserve">Chamberlain, Cheung and Kwan (1991) </w:t>
      </w:r>
      <w:r w:rsidR="00247A65" w:rsidRPr="006D04A5">
        <w:rPr>
          <w:sz w:val="20"/>
          <w:szCs w:val="20"/>
        </w:rPr>
        <w:t>indicate</w:t>
      </w:r>
      <w:r w:rsidR="00D02EDF" w:rsidRPr="006D04A5">
        <w:rPr>
          <w:sz w:val="20"/>
          <w:szCs w:val="20"/>
        </w:rPr>
        <w:t xml:space="preserve"> </w:t>
      </w:r>
      <w:r w:rsidR="007C63C3" w:rsidRPr="006D04A5">
        <w:rPr>
          <w:sz w:val="20"/>
          <w:szCs w:val="20"/>
        </w:rPr>
        <w:t xml:space="preserve">the existence of </w:t>
      </w:r>
      <w:r w:rsidR="00C8417D" w:rsidRPr="006D04A5">
        <w:rPr>
          <w:sz w:val="20"/>
          <w:szCs w:val="20"/>
        </w:rPr>
        <w:t xml:space="preserve">Friday the thirteenth </w:t>
      </w:r>
      <w:r w:rsidR="007C63C3" w:rsidRPr="006D04A5">
        <w:rPr>
          <w:sz w:val="20"/>
          <w:szCs w:val="20"/>
        </w:rPr>
        <w:t xml:space="preserve">effect would indicate </w:t>
      </w:r>
      <w:r w:rsidR="00D02EDF" w:rsidRPr="006D04A5">
        <w:rPr>
          <w:sz w:val="20"/>
          <w:szCs w:val="20"/>
        </w:rPr>
        <w:t xml:space="preserve">that the stock market is impacted by superstition.  </w:t>
      </w:r>
      <w:r w:rsidR="00247A65" w:rsidRPr="006D04A5">
        <w:rPr>
          <w:sz w:val="20"/>
          <w:szCs w:val="20"/>
        </w:rPr>
        <w:t>T</w:t>
      </w:r>
      <w:r w:rsidR="00D02EDF" w:rsidRPr="006D04A5">
        <w:rPr>
          <w:sz w:val="20"/>
          <w:szCs w:val="20"/>
        </w:rPr>
        <w:t>he</w:t>
      </w:r>
      <w:r w:rsidR="00C8417D" w:rsidRPr="006D04A5">
        <w:rPr>
          <w:sz w:val="20"/>
          <w:szCs w:val="20"/>
        </w:rPr>
        <w:t xml:space="preserve">refore, this effect </w:t>
      </w:r>
      <w:r w:rsidR="00D02EDF" w:rsidRPr="006D04A5">
        <w:rPr>
          <w:sz w:val="20"/>
          <w:szCs w:val="20"/>
        </w:rPr>
        <w:t xml:space="preserve">should be carefully examined.  </w:t>
      </w:r>
      <w:r w:rsidR="006A0700" w:rsidRPr="006D04A5">
        <w:rPr>
          <w:sz w:val="20"/>
          <w:szCs w:val="20"/>
        </w:rPr>
        <w:t xml:space="preserve">They examined Friday the thirteenth effect by </w:t>
      </w:r>
      <w:r w:rsidR="00247A65" w:rsidRPr="006D04A5">
        <w:rPr>
          <w:sz w:val="20"/>
          <w:szCs w:val="20"/>
        </w:rPr>
        <w:t xml:space="preserve">simultaneously </w:t>
      </w:r>
      <w:r w:rsidR="006A0700" w:rsidRPr="006D04A5">
        <w:rPr>
          <w:sz w:val="20"/>
          <w:szCs w:val="20"/>
        </w:rPr>
        <w:t>taking into account the turn of the month effect.  Utilizing Standard and Poor’s index for the period 1940 to 1984, they concluded that there is no Friday the thirteenth effect in stock returns.</w:t>
      </w:r>
    </w:p>
    <w:p w:rsidR="00DF37DE" w:rsidRPr="006D04A5" w:rsidRDefault="00DF37DE" w:rsidP="006D04A5">
      <w:pPr>
        <w:jc w:val="both"/>
        <w:rPr>
          <w:sz w:val="20"/>
          <w:szCs w:val="20"/>
        </w:rPr>
      </w:pPr>
    </w:p>
    <w:p w:rsidR="00563DE6" w:rsidRPr="006D04A5" w:rsidRDefault="00540740" w:rsidP="006D04A5">
      <w:pPr>
        <w:ind w:firstLine="720"/>
        <w:jc w:val="both"/>
        <w:rPr>
          <w:sz w:val="20"/>
          <w:szCs w:val="20"/>
        </w:rPr>
      </w:pPr>
      <w:r w:rsidRPr="006D04A5">
        <w:rPr>
          <w:sz w:val="20"/>
          <w:szCs w:val="20"/>
        </w:rPr>
        <w:t xml:space="preserve">Coutts (1999) </w:t>
      </w:r>
      <w:r w:rsidR="00767196" w:rsidRPr="006D04A5">
        <w:rPr>
          <w:sz w:val="20"/>
          <w:szCs w:val="20"/>
        </w:rPr>
        <w:t>indicate that Friday the thirteenth effect is one of the least examined anomalies in</w:t>
      </w:r>
      <w:r w:rsidR="00453382" w:rsidRPr="006D04A5">
        <w:rPr>
          <w:sz w:val="20"/>
          <w:szCs w:val="20"/>
        </w:rPr>
        <w:t xml:space="preserve"> the</w:t>
      </w:r>
      <w:r w:rsidR="00767196" w:rsidRPr="006D04A5">
        <w:rPr>
          <w:sz w:val="20"/>
          <w:szCs w:val="20"/>
        </w:rPr>
        <w:t xml:space="preserve"> literature.  Using Financial Times Industry Ordinary Shares Index (FT 30) for the period 1935 to 1994, Coutts concluded that Friday the thirteenth effect does not exist in the U.K. stock market.  The author </w:t>
      </w:r>
      <w:r w:rsidR="00D171DD" w:rsidRPr="006D04A5">
        <w:rPr>
          <w:sz w:val="20"/>
          <w:szCs w:val="20"/>
        </w:rPr>
        <w:t>reports t</w:t>
      </w:r>
      <w:r w:rsidR="00767196" w:rsidRPr="006D04A5">
        <w:rPr>
          <w:sz w:val="20"/>
          <w:szCs w:val="20"/>
        </w:rPr>
        <w:t xml:space="preserve">hat U.K stock market actually generated higher returns on Friday the thirteenth than other Fridays.  When he investigated the effect over sub-periods, the results </w:t>
      </w:r>
      <w:r w:rsidR="00563DE6" w:rsidRPr="006D04A5">
        <w:rPr>
          <w:sz w:val="20"/>
          <w:szCs w:val="20"/>
        </w:rPr>
        <w:t xml:space="preserve">remained </w:t>
      </w:r>
      <w:r w:rsidR="00767196" w:rsidRPr="006D04A5">
        <w:rPr>
          <w:sz w:val="20"/>
          <w:szCs w:val="20"/>
        </w:rPr>
        <w:t xml:space="preserve">consistent and </w:t>
      </w:r>
      <w:r w:rsidR="00563DE6" w:rsidRPr="006D04A5">
        <w:rPr>
          <w:sz w:val="20"/>
          <w:szCs w:val="20"/>
        </w:rPr>
        <w:t>it was clear that Friday the effect</w:t>
      </w:r>
      <w:r w:rsidR="00D00E75" w:rsidRPr="006D04A5">
        <w:rPr>
          <w:sz w:val="20"/>
          <w:szCs w:val="20"/>
        </w:rPr>
        <w:t xml:space="preserve"> was </w:t>
      </w:r>
      <w:r w:rsidR="00563DE6" w:rsidRPr="006D04A5">
        <w:rPr>
          <w:sz w:val="20"/>
          <w:szCs w:val="20"/>
        </w:rPr>
        <w:t>no</w:t>
      </w:r>
      <w:r w:rsidR="00D00E75" w:rsidRPr="006D04A5">
        <w:rPr>
          <w:sz w:val="20"/>
          <w:szCs w:val="20"/>
        </w:rPr>
        <w:t xml:space="preserve">t </w:t>
      </w:r>
      <w:r w:rsidR="00563DE6" w:rsidRPr="006D04A5">
        <w:rPr>
          <w:sz w:val="20"/>
          <w:szCs w:val="20"/>
        </w:rPr>
        <w:t>existent in the U.K stock market.</w:t>
      </w:r>
    </w:p>
    <w:p w:rsidR="00563DE6" w:rsidRPr="006D04A5" w:rsidRDefault="00563DE6" w:rsidP="006D04A5">
      <w:pPr>
        <w:jc w:val="both"/>
        <w:rPr>
          <w:sz w:val="20"/>
          <w:szCs w:val="20"/>
        </w:rPr>
      </w:pPr>
    </w:p>
    <w:p w:rsidR="00BF7318" w:rsidRPr="006D04A5" w:rsidRDefault="00DD76CB" w:rsidP="006D04A5">
      <w:pPr>
        <w:ind w:firstLine="720"/>
        <w:jc w:val="both"/>
        <w:rPr>
          <w:sz w:val="20"/>
          <w:szCs w:val="20"/>
        </w:rPr>
      </w:pPr>
      <w:r w:rsidRPr="006D04A5">
        <w:rPr>
          <w:sz w:val="20"/>
          <w:szCs w:val="20"/>
        </w:rPr>
        <w:t xml:space="preserve">Lucey (2001) </w:t>
      </w:r>
      <w:r w:rsidR="00131158" w:rsidRPr="006D04A5">
        <w:rPr>
          <w:sz w:val="20"/>
          <w:szCs w:val="20"/>
        </w:rPr>
        <w:t xml:space="preserve">examined Friday the thirteenth effect in </w:t>
      </w:r>
      <w:r w:rsidR="002743C5" w:rsidRPr="006D04A5">
        <w:rPr>
          <w:sz w:val="20"/>
          <w:szCs w:val="20"/>
        </w:rPr>
        <w:t>19</w:t>
      </w:r>
      <w:r w:rsidR="00131158" w:rsidRPr="006D04A5">
        <w:rPr>
          <w:sz w:val="20"/>
          <w:szCs w:val="20"/>
        </w:rPr>
        <w:t xml:space="preserve"> countries over the period 1988 to 2000.  Lucey utilize</w:t>
      </w:r>
      <w:r w:rsidR="00156F9B" w:rsidRPr="006D04A5">
        <w:rPr>
          <w:sz w:val="20"/>
          <w:szCs w:val="20"/>
        </w:rPr>
        <w:t>d</w:t>
      </w:r>
      <w:r w:rsidR="00131158" w:rsidRPr="006D04A5">
        <w:rPr>
          <w:sz w:val="20"/>
          <w:szCs w:val="20"/>
        </w:rPr>
        <w:t xml:space="preserve"> parametric as well as non-parametric statistical tests and conclude</w:t>
      </w:r>
      <w:r w:rsidR="00156F9B" w:rsidRPr="006D04A5">
        <w:rPr>
          <w:sz w:val="20"/>
          <w:szCs w:val="20"/>
        </w:rPr>
        <w:t>d</w:t>
      </w:r>
      <w:r w:rsidR="00131158" w:rsidRPr="006D04A5">
        <w:rPr>
          <w:sz w:val="20"/>
          <w:szCs w:val="20"/>
        </w:rPr>
        <w:t xml:space="preserve"> that there is a </w:t>
      </w:r>
      <w:r w:rsidR="00EA194B" w:rsidRPr="006D04A5">
        <w:rPr>
          <w:sz w:val="20"/>
          <w:szCs w:val="20"/>
        </w:rPr>
        <w:t xml:space="preserve">reversed </w:t>
      </w:r>
      <w:r w:rsidR="00131158" w:rsidRPr="006D04A5">
        <w:rPr>
          <w:sz w:val="20"/>
          <w:szCs w:val="20"/>
        </w:rPr>
        <w:t xml:space="preserve">Friday the </w:t>
      </w:r>
      <w:r w:rsidR="00131158" w:rsidRPr="006D04A5">
        <w:rPr>
          <w:sz w:val="20"/>
          <w:szCs w:val="20"/>
        </w:rPr>
        <w:lastRenderedPageBreak/>
        <w:t xml:space="preserve">thirteenth effect.  </w:t>
      </w:r>
      <w:r w:rsidR="00EA194B" w:rsidRPr="006D04A5">
        <w:rPr>
          <w:sz w:val="20"/>
          <w:szCs w:val="20"/>
        </w:rPr>
        <w:t>H</w:t>
      </w:r>
      <w:r w:rsidR="00156F9B" w:rsidRPr="006D04A5">
        <w:rPr>
          <w:sz w:val="20"/>
          <w:szCs w:val="20"/>
        </w:rPr>
        <w:t>e found</w:t>
      </w:r>
      <w:r w:rsidR="00131158" w:rsidRPr="006D04A5">
        <w:rPr>
          <w:sz w:val="20"/>
          <w:szCs w:val="20"/>
        </w:rPr>
        <w:t xml:space="preserve"> returns on Friday the thirteenth </w:t>
      </w:r>
      <w:r w:rsidR="00156F9B" w:rsidRPr="006D04A5">
        <w:rPr>
          <w:sz w:val="20"/>
          <w:szCs w:val="20"/>
        </w:rPr>
        <w:t>we</w:t>
      </w:r>
      <w:r w:rsidR="00131158" w:rsidRPr="006D04A5">
        <w:rPr>
          <w:sz w:val="20"/>
          <w:szCs w:val="20"/>
        </w:rPr>
        <w:t>re actually higher than that of other Fridays in most of the countries.</w:t>
      </w:r>
    </w:p>
    <w:p w:rsidR="007C63C3" w:rsidRPr="006D04A5" w:rsidRDefault="007C63C3" w:rsidP="006D04A5">
      <w:pPr>
        <w:jc w:val="both"/>
        <w:rPr>
          <w:sz w:val="20"/>
          <w:szCs w:val="20"/>
        </w:rPr>
      </w:pPr>
    </w:p>
    <w:p w:rsidR="007C63C3" w:rsidRPr="006D04A5" w:rsidRDefault="007C63C3" w:rsidP="006D04A5">
      <w:pPr>
        <w:ind w:firstLine="720"/>
        <w:jc w:val="both"/>
        <w:rPr>
          <w:sz w:val="20"/>
          <w:szCs w:val="20"/>
        </w:rPr>
      </w:pPr>
      <w:r w:rsidRPr="006D04A5">
        <w:rPr>
          <w:sz w:val="20"/>
          <w:szCs w:val="20"/>
        </w:rPr>
        <w:t xml:space="preserve">Our study contributes to </w:t>
      </w:r>
      <w:r w:rsidR="00FE2B5D" w:rsidRPr="006D04A5">
        <w:rPr>
          <w:sz w:val="20"/>
          <w:szCs w:val="20"/>
        </w:rPr>
        <w:t xml:space="preserve">the </w:t>
      </w:r>
      <w:r w:rsidRPr="006D04A5">
        <w:rPr>
          <w:sz w:val="20"/>
          <w:szCs w:val="20"/>
        </w:rPr>
        <w:t xml:space="preserve">finance literature in several ways.  First, we </w:t>
      </w:r>
      <w:r w:rsidR="00FE2B5D" w:rsidRPr="006D04A5">
        <w:rPr>
          <w:sz w:val="20"/>
          <w:szCs w:val="20"/>
        </w:rPr>
        <w:t>re</w:t>
      </w:r>
      <w:r w:rsidR="00A76615" w:rsidRPr="006D04A5">
        <w:rPr>
          <w:sz w:val="20"/>
          <w:szCs w:val="20"/>
        </w:rPr>
        <w:t xml:space="preserve">examine Friday the thirteenth </w:t>
      </w:r>
      <w:r w:rsidR="00FE2B5D" w:rsidRPr="006D04A5">
        <w:rPr>
          <w:sz w:val="20"/>
          <w:szCs w:val="20"/>
        </w:rPr>
        <w:t xml:space="preserve">effect </w:t>
      </w:r>
      <w:r w:rsidR="00A76615" w:rsidRPr="006D04A5">
        <w:rPr>
          <w:sz w:val="20"/>
          <w:szCs w:val="20"/>
        </w:rPr>
        <w:t>with recent s</w:t>
      </w:r>
      <w:r w:rsidR="00FE2B5D" w:rsidRPr="006D04A5">
        <w:rPr>
          <w:sz w:val="20"/>
          <w:szCs w:val="20"/>
        </w:rPr>
        <w:t xml:space="preserve">tock market </w:t>
      </w:r>
      <w:r w:rsidRPr="006D04A5">
        <w:rPr>
          <w:sz w:val="20"/>
          <w:szCs w:val="20"/>
        </w:rPr>
        <w:t xml:space="preserve">data </w:t>
      </w:r>
      <w:r w:rsidR="00FE2B5D" w:rsidRPr="006D04A5">
        <w:rPr>
          <w:sz w:val="20"/>
          <w:szCs w:val="20"/>
        </w:rPr>
        <w:t>to December 2007</w:t>
      </w:r>
      <w:r w:rsidRPr="006D04A5">
        <w:rPr>
          <w:sz w:val="20"/>
          <w:szCs w:val="20"/>
        </w:rPr>
        <w:t xml:space="preserve">.  Second, we </w:t>
      </w:r>
      <w:r w:rsidR="00FE2B5D" w:rsidRPr="006D04A5">
        <w:rPr>
          <w:sz w:val="20"/>
          <w:szCs w:val="20"/>
        </w:rPr>
        <w:t>examin</w:t>
      </w:r>
      <w:r w:rsidR="00A76615" w:rsidRPr="006D04A5">
        <w:rPr>
          <w:sz w:val="20"/>
          <w:szCs w:val="20"/>
        </w:rPr>
        <w:t>e</w:t>
      </w:r>
      <w:r w:rsidR="00FE2B5D" w:rsidRPr="006D04A5">
        <w:rPr>
          <w:sz w:val="20"/>
          <w:szCs w:val="20"/>
        </w:rPr>
        <w:t xml:space="preserve"> </w:t>
      </w:r>
      <w:r w:rsidRPr="006D04A5">
        <w:rPr>
          <w:sz w:val="20"/>
          <w:szCs w:val="20"/>
        </w:rPr>
        <w:t xml:space="preserve">NASDAQ </w:t>
      </w:r>
      <w:r w:rsidR="006E2061" w:rsidRPr="006D04A5">
        <w:rPr>
          <w:sz w:val="20"/>
          <w:szCs w:val="20"/>
        </w:rPr>
        <w:t xml:space="preserve">composite index </w:t>
      </w:r>
      <w:r w:rsidR="00CA197B" w:rsidRPr="006D04A5">
        <w:rPr>
          <w:sz w:val="20"/>
          <w:szCs w:val="20"/>
        </w:rPr>
        <w:t xml:space="preserve">in addition to Standard and Poor’s 500 index </w:t>
      </w:r>
      <w:r w:rsidR="006E2061" w:rsidRPr="006D04A5">
        <w:rPr>
          <w:sz w:val="20"/>
          <w:szCs w:val="20"/>
        </w:rPr>
        <w:t xml:space="preserve">to </w:t>
      </w:r>
      <w:r w:rsidR="00FE2B5D" w:rsidRPr="006D04A5">
        <w:rPr>
          <w:sz w:val="20"/>
          <w:szCs w:val="20"/>
        </w:rPr>
        <w:t xml:space="preserve">investigate the existence of </w:t>
      </w:r>
      <w:r w:rsidR="006E2061" w:rsidRPr="006D04A5">
        <w:rPr>
          <w:sz w:val="20"/>
          <w:szCs w:val="20"/>
        </w:rPr>
        <w:t>this effect</w:t>
      </w:r>
      <w:r w:rsidRPr="006D04A5">
        <w:rPr>
          <w:sz w:val="20"/>
          <w:szCs w:val="20"/>
        </w:rPr>
        <w:t xml:space="preserve">.  </w:t>
      </w:r>
      <w:r w:rsidR="00761F4C" w:rsidRPr="006D04A5">
        <w:rPr>
          <w:sz w:val="20"/>
          <w:szCs w:val="20"/>
        </w:rPr>
        <w:t>Third, we utilize parametric as well as non-parametric significance tests to report additional evidence regarding Friday the thirteenth effect in U.S. stock returns.  Finally</w:t>
      </w:r>
      <w:r w:rsidRPr="006D04A5">
        <w:rPr>
          <w:sz w:val="20"/>
          <w:szCs w:val="20"/>
        </w:rPr>
        <w:t xml:space="preserve">, </w:t>
      </w:r>
      <w:r w:rsidR="00AC323F" w:rsidRPr="006D04A5">
        <w:rPr>
          <w:sz w:val="20"/>
          <w:szCs w:val="20"/>
        </w:rPr>
        <w:t>we believe that Friday the thirteenth effect is not extensively examined in the finance literature.  T</w:t>
      </w:r>
      <w:r w:rsidR="00CA197B" w:rsidRPr="006D04A5">
        <w:rPr>
          <w:sz w:val="20"/>
          <w:szCs w:val="20"/>
        </w:rPr>
        <w:t>here ap</w:t>
      </w:r>
      <w:r w:rsidR="00A94FEC" w:rsidRPr="006D04A5">
        <w:rPr>
          <w:sz w:val="20"/>
          <w:szCs w:val="20"/>
        </w:rPr>
        <w:t xml:space="preserve">pears to be </w:t>
      </w:r>
      <w:r w:rsidRPr="006D04A5">
        <w:rPr>
          <w:sz w:val="20"/>
          <w:szCs w:val="20"/>
        </w:rPr>
        <w:t xml:space="preserve">limited published research on </w:t>
      </w:r>
      <w:r w:rsidR="00A76615" w:rsidRPr="006D04A5">
        <w:rPr>
          <w:sz w:val="20"/>
          <w:szCs w:val="20"/>
        </w:rPr>
        <w:t xml:space="preserve">examination of </w:t>
      </w:r>
      <w:r w:rsidRPr="006D04A5">
        <w:rPr>
          <w:sz w:val="20"/>
          <w:szCs w:val="20"/>
        </w:rPr>
        <w:t>Friday the thirteenth effect.</w:t>
      </w:r>
      <w:r w:rsidR="00A94FEC" w:rsidRPr="006D04A5">
        <w:rPr>
          <w:sz w:val="20"/>
          <w:szCs w:val="20"/>
        </w:rPr>
        <w:t xml:space="preserve">  </w:t>
      </w:r>
      <w:r w:rsidR="00CA197B" w:rsidRPr="006D04A5">
        <w:rPr>
          <w:sz w:val="20"/>
          <w:szCs w:val="20"/>
        </w:rPr>
        <w:t>Therefore, this study attempts to fill a gap in the stock market anom</w:t>
      </w:r>
      <w:r w:rsidR="00392A0C" w:rsidRPr="006D04A5">
        <w:rPr>
          <w:sz w:val="20"/>
          <w:szCs w:val="20"/>
        </w:rPr>
        <w:t xml:space="preserve">alies literature.  </w:t>
      </w:r>
      <w:r w:rsidR="00761F4C" w:rsidRPr="006D04A5">
        <w:rPr>
          <w:sz w:val="20"/>
          <w:szCs w:val="20"/>
        </w:rPr>
        <w:t>In the next section, w</w:t>
      </w:r>
      <w:r w:rsidR="00F574B4" w:rsidRPr="006D04A5">
        <w:rPr>
          <w:sz w:val="20"/>
          <w:szCs w:val="20"/>
        </w:rPr>
        <w:t xml:space="preserve">e </w:t>
      </w:r>
      <w:r w:rsidR="00A94FEC" w:rsidRPr="006D04A5">
        <w:rPr>
          <w:sz w:val="20"/>
          <w:szCs w:val="20"/>
        </w:rPr>
        <w:t>briefly describe the data utilized in this study.</w:t>
      </w:r>
    </w:p>
    <w:p w:rsidR="00BF7318" w:rsidRPr="006D04A5" w:rsidRDefault="00BF7318" w:rsidP="006D04A5">
      <w:pPr>
        <w:jc w:val="both"/>
        <w:rPr>
          <w:sz w:val="20"/>
          <w:szCs w:val="20"/>
        </w:rPr>
      </w:pPr>
    </w:p>
    <w:p w:rsidR="00BF7318" w:rsidRPr="006D04A5" w:rsidRDefault="006D04A5" w:rsidP="006D04A5">
      <w:pPr>
        <w:jc w:val="both"/>
        <w:rPr>
          <w:b/>
          <w:sz w:val="20"/>
          <w:szCs w:val="20"/>
        </w:rPr>
      </w:pPr>
      <w:r>
        <w:rPr>
          <w:b/>
          <w:sz w:val="20"/>
          <w:szCs w:val="20"/>
        </w:rPr>
        <w:t>Data</w:t>
      </w:r>
    </w:p>
    <w:p w:rsidR="00BF7318" w:rsidRPr="006D04A5" w:rsidRDefault="00BF7318" w:rsidP="006D04A5">
      <w:pPr>
        <w:jc w:val="both"/>
        <w:rPr>
          <w:sz w:val="20"/>
          <w:szCs w:val="20"/>
        </w:rPr>
      </w:pPr>
    </w:p>
    <w:p w:rsidR="001C7D2A" w:rsidRPr="006D04A5" w:rsidRDefault="00BF7318" w:rsidP="006D04A5">
      <w:pPr>
        <w:ind w:firstLine="720"/>
        <w:jc w:val="both"/>
        <w:rPr>
          <w:sz w:val="20"/>
          <w:szCs w:val="20"/>
        </w:rPr>
      </w:pPr>
      <w:r w:rsidRPr="006D04A5">
        <w:rPr>
          <w:sz w:val="20"/>
          <w:szCs w:val="20"/>
        </w:rPr>
        <w:t xml:space="preserve">In this study, we </w:t>
      </w:r>
      <w:r w:rsidR="001C7D2A" w:rsidRPr="006D04A5">
        <w:rPr>
          <w:sz w:val="20"/>
          <w:szCs w:val="20"/>
        </w:rPr>
        <w:t>utilize the NASDAQ composite index (NASDAQ) and the Standard and Poor’s</w:t>
      </w:r>
      <w:r w:rsidR="008073BE" w:rsidRPr="006D04A5">
        <w:rPr>
          <w:sz w:val="20"/>
          <w:szCs w:val="20"/>
        </w:rPr>
        <w:t xml:space="preserve"> 500 </w:t>
      </w:r>
      <w:r w:rsidR="001C7D2A" w:rsidRPr="006D04A5">
        <w:rPr>
          <w:sz w:val="20"/>
          <w:szCs w:val="20"/>
        </w:rPr>
        <w:t>index (S&amp;P 500) as representative U.S. stock</w:t>
      </w:r>
      <w:r w:rsidR="006F0A1F" w:rsidRPr="006D04A5">
        <w:rPr>
          <w:sz w:val="20"/>
          <w:szCs w:val="20"/>
        </w:rPr>
        <w:t xml:space="preserve"> market</w:t>
      </w:r>
      <w:r w:rsidR="001C7D2A" w:rsidRPr="006D04A5">
        <w:rPr>
          <w:sz w:val="20"/>
          <w:szCs w:val="20"/>
        </w:rPr>
        <w:t xml:space="preserve"> indices.  The NASDAQ index was created in February 5, 1971 and its daily index values since inception are available from the yahoo website.  </w:t>
      </w:r>
      <w:r w:rsidR="00CA197B" w:rsidRPr="006D04A5">
        <w:rPr>
          <w:sz w:val="20"/>
          <w:szCs w:val="20"/>
        </w:rPr>
        <w:t xml:space="preserve">For </w:t>
      </w:r>
      <w:r w:rsidR="006F0A1F" w:rsidRPr="006D04A5">
        <w:rPr>
          <w:sz w:val="20"/>
          <w:szCs w:val="20"/>
        </w:rPr>
        <w:t xml:space="preserve">the </w:t>
      </w:r>
      <w:r w:rsidR="00CA197B" w:rsidRPr="006D04A5">
        <w:rPr>
          <w:sz w:val="20"/>
          <w:szCs w:val="20"/>
        </w:rPr>
        <w:t>NASDAQ index, we collected daily index values from February 5, 1971 to December 31, 2007.  D</w:t>
      </w:r>
      <w:r w:rsidR="001C7D2A" w:rsidRPr="006D04A5">
        <w:rPr>
          <w:sz w:val="20"/>
          <w:szCs w:val="20"/>
        </w:rPr>
        <w:t xml:space="preserve">aily index values </w:t>
      </w:r>
      <w:r w:rsidR="00641D38" w:rsidRPr="006D04A5">
        <w:rPr>
          <w:sz w:val="20"/>
          <w:szCs w:val="20"/>
        </w:rPr>
        <w:t xml:space="preserve">from </w:t>
      </w:r>
      <w:r w:rsidR="00BA1739" w:rsidRPr="006D04A5">
        <w:rPr>
          <w:sz w:val="20"/>
          <w:szCs w:val="20"/>
        </w:rPr>
        <w:t xml:space="preserve">January 1950 are </w:t>
      </w:r>
      <w:r w:rsidR="001C7D2A" w:rsidRPr="006D04A5">
        <w:rPr>
          <w:sz w:val="20"/>
          <w:szCs w:val="20"/>
        </w:rPr>
        <w:t xml:space="preserve">available </w:t>
      </w:r>
      <w:r w:rsidR="00BA1739" w:rsidRPr="006D04A5">
        <w:rPr>
          <w:sz w:val="20"/>
          <w:szCs w:val="20"/>
        </w:rPr>
        <w:t xml:space="preserve">for the S&amp;P 500 index </w:t>
      </w:r>
      <w:r w:rsidR="001C7D2A" w:rsidRPr="006D04A5">
        <w:rPr>
          <w:sz w:val="20"/>
          <w:szCs w:val="20"/>
        </w:rPr>
        <w:t>on the yahoo website.</w:t>
      </w:r>
      <w:r w:rsidR="00CA197B" w:rsidRPr="006D04A5">
        <w:rPr>
          <w:sz w:val="20"/>
          <w:szCs w:val="20"/>
        </w:rPr>
        <w:t xml:space="preserve">  Therefore, we collected daily index values for the S&amp;P 500 index from January 1, 1950 to December 31, 2007.</w:t>
      </w:r>
    </w:p>
    <w:p w:rsidR="001C7D2A" w:rsidRPr="006D04A5" w:rsidRDefault="001C7D2A" w:rsidP="006D04A5">
      <w:pPr>
        <w:jc w:val="both"/>
        <w:rPr>
          <w:sz w:val="20"/>
          <w:szCs w:val="20"/>
        </w:rPr>
      </w:pPr>
    </w:p>
    <w:p w:rsidR="001C7D2A" w:rsidRPr="006D04A5" w:rsidRDefault="001C7D2A" w:rsidP="006D04A5">
      <w:pPr>
        <w:ind w:firstLine="720"/>
        <w:jc w:val="both"/>
        <w:rPr>
          <w:sz w:val="20"/>
          <w:szCs w:val="20"/>
        </w:rPr>
      </w:pPr>
      <w:r w:rsidRPr="006D04A5">
        <w:rPr>
          <w:sz w:val="20"/>
          <w:szCs w:val="20"/>
        </w:rPr>
        <w:t xml:space="preserve">We calculate returns using the standard methodology.  </w:t>
      </w:r>
      <w:r w:rsidR="00CA197B" w:rsidRPr="006D04A5">
        <w:rPr>
          <w:sz w:val="20"/>
          <w:szCs w:val="20"/>
        </w:rPr>
        <w:t xml:space="preserve">In this paper, the emphasis is on examining Friday returns.  </w:t>
      </w:r>
      <w:r w:rsidR="00A74489" w:rsidRPr="006D04A5">
        <w:rPr>
          <w:sz w:val="20"/>
          <w:szCs w:val="20"/>
        </w:rPr>
        <w:t xml:space="preserve">Therefore, </w:t>
      </w:r>
      <w:r w:rsidRPr="006D04A5">
        <w:rPr>
          <w:sz w:val="20"/>
          <w:szCs w:val="20"/>
        </w:rPr>
        <w:t xml:space="preserve">Friday returns </w:t>
      </w:r>
      <w:r w:rsidR="002019B9" w:rsidRPr="006D04A5">
        <w:rPr>
          <w:sz w:val="20"/>
          <w:szCs w:val="20"/>
        </w:rPr>
        <w:t xml:space="preserve">are </w:t>
      </w:r>
      <w:r w:rsidR="00A74489" w:rsidRPr="006D04A5">
        <w:rPr>
          <w:sz w:val="20"/>
          <w:szCs w:val="20"/>
        </w:rPr>
        <w:t xml:space="preserve">utilized </w:t>
      </w:r>
      <w:r w:rsidRPr="006D04A5">
        <w:rPr>
          <w:sz w:val="20"/>
          <w:szCs w:val="20"/>
        </w:rPr>
        <w:t>for comparison purposes.  More specifically, we compare Friday the thirteenth returns with tha</w:t>
      </w:r>
      <w:r w:rsidR="002019B9" w:rsidRPr="006D04A5">
        <w:rPr>
          <w:sz w:val="20"/>
          <w:szCs w:val="20"/>
        </w:rPr>
        <w:t xml:space="preserve">t of other Friday returns.  </w:t>
      </w:r>
      <w:r w:rsidRPr="006D04A5">
        <w:rPr>
          <w:sz w:val="20"/>
          <w:szCs w:val="20"/>
        </w:rPr>
        <w:t xml:space="preserve">This examination </w:t>
      </w:r>
      <w:r w:rsidR="002019B9" w:rsidRPr="006D04A5">
        <w:rPr>
          <w:sz w:val="20"/>
          <w:szCs w:val="20"/>
        </w:rPr>
        <w:t xml:space="preserve">is </w:t>
      </w:r>
      <w:r w:rsidRPr="006D04A5">
        <w:rPr>
          <w:sz w:val="20"/>
          <w:szCs w:val="20"/>
        </w:rPr>
        <w:t>performed for the overall sample as well as</w:t>
      </w:r>
      <w:r w:rsidR="00A74489" w:rsidRPr="006D04A5">
        <w:rPr>
          <w:sz w:val="20"/>
          <w:szCs w:val="20"/>
        </w:rPr>
        <w:t xml:space="preserve"> for </w:t>
      </w:r>
      <w:r w:rsidR="00B65892" w:rsidRPr="006D04A5">
        <w:rPr>
          <w:sz w:val="20"/>
          <w:szCs w:val="20"/>
        </w:rPr>
        <w:t>numerous</w:t>
      </w:r>
      <w:r w:rsidRPr="006D04A5">
        <w:rPr>
          <w:sz w:val="20"/>
          <w:szCs w:val="20"/>
        </w:rPr>
        <w:t xml:space="preserve"> sub-periods.</w:t>
      </w:r>
      <w:r w:rsidR="00A94FEC" w:rsidRPr="006D04A5">
        <w:rPr>
          <w:sz w:val="20"/>
          <w:szCs w:val="20"/>
        </w:rPr>
        <w:t xml:space="preserve">  We report results in the next section.</w:t>
      </w:r>
    </w:p>
    <w:p w:rsidR="007E1A40" w:rsidRPr="006D04A5" w:rsidRDefault="007E1A40" w:rsidP="006D04A5">
      <w:pPr>
        <w:jc w:val="both"/>
        <w:rPr>
          <w:sz w:val="20"/>
          <w:szCs w:val="20"/>
        </w:rPr>
      </w:pPr>
    </w:p>
    <w:p w:rsidR="007E1A40" w:rsidRPr="006D04A5" w:rsidRDefault="006D04A5" w:rsidP="006D04A5">
      <w:pPr>
        <w:jc w:val="both"/>
        <w:rPr>
          <w:b/>
          <w:sz w:val="20"/>
          <w:szCs w:val="20"/>
        </w:rPr>
      </w:pPr>
      <w:r>
        <w:rPr>
          <w:b/>
          <w:sz w:val="20"/>
          <w:szCs w:val="20"/>
        </w:rPr>
        <w:t>Empirical Analysis</w:t>
      </w:r>
    </w:p>
    <w:p w:rsidR="001C7D2A" w:rsidRPr="006D04A5" w:rsidRDefault="001C7D2A" w:rsidP="006D04A5">
      <w:pPr>
        <w:jc w:val="both"/>
        <w:rPr>
          <w:sz w:val="20"/>
          <w:szCs w:val="20"/>
        </w:rPr>
      </w:pPr>
    </w:p>
    <w:p w:rsidR="002C2698" w:rsidRPr="006D04A5" w:rsidRDefault="00EF0769" w:rsidP="006D04A5">
      <w:pPr>
        <w:ind w:firstLine="720"/>
        <w:jc w:val="both"/>
        <w:rPr>
          <w:sz w:val="20"/>
          <w:szCs w:val="20"/>
        </w:rPr>
      </w:pPr>
      <w:r w:rsidRPr="006D04A5">
        <w:rPr>
          <w:sz w:val="20"/>
          <w:szCs w:val="20"/>
        </w:rPr>
        <w:t xml:space="preserve">We initially compare returns on Fridays the thirteenth with </w:t>
      </w:r>
      <w:r w:rsidR="006F0A1F" w:rsidRPr="006D04A5">
        <w:rPr>
          <w:sz w:val="20"/>
          <w:szCs w:val="20"/>
        </w:rPr>
        <w:t>that of</w:t>
      </w:r>
      <w:r w:rsidRPr="006D04A5">
        <w:rPr>
          <w:sz w:val="20"/>
          <w:szCs w:val="20"/>
        </w:rPr>
        <w:t xml:space="preserve"> remaining Fridays in the S&amp;P 500 index</w:t>
      </w:r>
      <w:r w:rsidR="00004423" w:rsidRPr="006D04A5">
        <w:rPr>
          <w:sz w:val="20"/>
          <w:szCs w:val="20"/>
        </w:rPr>
        <w:t xml:space="preserve">.  The results are reported </w:t>
      </w:r>
      <w:r w:rsidR="00076EAC" w:rsidRPr="006D04A5">
        <w:rPr>
          <w:sz w:val="20"/>
          <w:szCs w:val="20"/>
        </w:rPr>
        <w:t>in Table 1</w:t>
      </w:r>
      <w:r w:rsidRPr="006D04A5">
        <w:rPr>
          <w:sz w:val="20"/>
          <w:szCs w:val="20"/>
        </w:rPr>
        <w:t>.  During the overall period of our study of January 1950 to December 2007, there were 97 Friday</w:t>
      </w:r>
      <w:r w:rsidR="00537961" w:rsidRPr="006D04A5">
        <w:rPr>
          <w:sz w:val="20"/>
          <w:szCs w:val="20"/>
        </w:rPr>
        <w:t xml:space="preserve">s on </w:t>
      </w:r>
      <w:r w:rsidR="004A58ED" w:rsidRPr="006D04A5">
        <w:rPr>
          <w:sz w:val="20"/>
          <w:szCs w:val="20"/>
        </w:rPr>
        <w:t xml:space="preserve">the </w:t>
      </w:r>
      <w:r w:rsidR="00A64823" w:rsidRPr="006D04A5">
        <w:rPr>
          <w:sz w:val="20"/>
          <w:szCs w:val="20"/>
        </w:rPr>
        <w:t>thirteenth</w:t>
      </w:r>
      <w:r w:rsidR="00537961" w:rsidRPr="006D04A5">
        <w:rPr>
          <w:sz w:val="20"/>
          <w:szCs w:val="20"/>
        </w:rPr>
        <w:t xml:space="preserve"> </w:t>
      </w:r>
      <w:r w:rsidR="00547E4A" w:rsidRPr="006D04A5">
        <w:rPr>
          <w:sz w:val="20"/>
          <w:szCs w:val="20"/>
        </w:rPr>
        <w:t xml:space="preserve">day of the month (Friday </w:t>
      </w:r>
      <w:r w:rsidRPr="006D04A5">
        <w:rPr>
          <w:sz w:val="20"/>
          <w:szCs w:val="20"/>
        </w:rPr>
        <w:t>the thirte</w:t>
      </w:r>
      <w:r w:rsidR="00547E4A" w:rsidRPr="006D04A5">
        <w:rPr>
          <w:sz w:val="20"/>
          <w:szCs w:val="20"/>
        </w:rPr>
        <w:t>enth) in comparison to 2817 Fridays tha</w:t>
      </w:r>
      <w:r w:rsidR="00537961" w:rsidRPr="006D04A5">
        <w:rPr>
          <w:sz w:val="20"/>
          <w:szCs w:val="20"/>
        </w:rPr>
        <w:t xml:space="preserve">t </w:t>
      </w:r>
      <w:r w:rsidR="006F0A1F" w:rsidRPr="006D04A5">
        <w:rPr>
          <w:sz w:val="20"/>
          <w:szCs w:val="20"/>
        </w:rPr>
        <w:t xml:space="preserve">were </w:t>
      </w:r>
      <w:r w:rsidR="00537961" w:rsidRPr="006D04A5">
        <w:rPr>
          <w:sz w:val="20"/>
          <w:szCs w:val="20"/>
        </w:rPr>
        <w:t xml:space="preserve">on days other than </w:t>
      </w:r>
      <w:r w:rsidR="00A64823" w:rsidRPr="006D04A5">
        <w:rPr>
          <w:sz w:val="20"/>
          <w:szCs w:val="20"/>
        </w:rPr>
        <w:t>thirteenth</w:t>
      </w:r>
      <w:r w:rsidR="00537961" w:rsidRPr="006D04A5">
        <w:rPr>
          <w:sz w:val="20"/>
          <w:szCs w:val="20"/>
        </w:rPr>
        <w:t xml:space="preserve"> </w:t>
      </w:r>
      <w:r w:rsidR="00547E4A" w:rsidRPr="006D04A5">
        <w:rPr>
          <w:sz w:val="20"/>
          <w:szCs w:val="20"/>
        </w:rPr>
        <w:t xml:space="preserve">of the month (Other Fridays).  </w:t>
      </w:r>
      <w:r w:rsidR="006F0A1F" w:rsidRPr="006D04A5">
        <w:rPr>
          <w:sz w:val="20"/>
          <w:szCs w:val="20"/>
        </w:rPr>
        <w:t xml:space="preserve">Daily </w:t>
      </w:r>
      <w:r w:rsidR="00CC12F0" w:rsidRPr="006D04A5">
        <w:rPr>
          <w:sz w:val="20"/>
          <w:szCs w:val="20"/>
        </w:rPr>
        <w:t xml:space="preserve">returns on Friday the thirteenth were 0.0759 </w:t>
      </w:r>
      <w:r w:rsidR="006F0A1F" w:rsidRPr="006D04A5">
        <w:rPr>
          <w:sz w:val="20"/>
          <w:szCs w:val="20"/>
        </w:rPr>
        <w:t xml:space="preserve">percent </w:t>
      </w:r>
      <w:r w:rsidR="00CC12F0" w:rsidRPr="006D04A5">
        <w:rPr>
          <w:sz w:val="20"/>
          <w:szCs w:val="20"/>
        </w:rPr>
        <w:t xml:space="preserve">which </w:t>
      </w:r>
      <w:r w:rsidR="006F0A1F" w:rsidRPr="006D04A5">
        <w:rPr>
          <w:sz w:val="20"/>
          <w:szCs w:val="20"/>
        </w:rPr>
        <w:t>was</w:t>
      </w:r>
      <w:r w:rsidR="00CC12F0" w:rsidRPr="006D04A5">
        <w:rPr>
          <w:sz w:val="20"/>
          <w:szCs w:val="20"/>
        </w:rPr>
        <w:t xml:space="preserve"> slightly lower </w:t>
      </w:r>
      <w:r w:rsidR="006F0A1F" w:rsidRPr="006D04A5">
        <w:rPr>
          <w:sz w:val="20"/>
          <w:szCs w:val="20"/>
        </w:rPr>
        <w:t>than the daily returns of other Fridays (</w:t>
      </w:r>
      <w:r w:rsidR="00CC12F0" w:rsidRPr="006D04A5">
        <w:rPr>
          <w:sz w:val="20"/>
          <w:szCs w:val="20"/>
        </w:rPr>
        <w:t xml:space="preserve">0.0766 </w:t>
      </w:r>
      <w:r w:rsidR="006F0A1F" w:rsidRPr="006D04A5">
        <w:rPr>
          <w:sz w:val="20"/>
          <w:szCs w:val="20"/>
        </w:rPr>
        <w:t>percent)</w:t>
      </w:r>
      <w:r w:rsidR="00CC12F0" w:rsidRPr="006D04A5">
        <w:rPr>
          <w:sz w:val="20"/>
          <w:szCs w:val="20"/>
        </w:rPr>
        <w:t xml:space="preserve">.  </w:t>
      </w:r>
      <w:r w:rsidR="00D56A25" w:rsidRPr="006D04A5">
        <w:rPr>
          <w:sz w:val="20"/>
          <w:szCs w:val="20"/>
        </w:rPr>
        <w:t xml:space="preserve">When we tested the significance of the differences, the results </w:t>
      </w:r>
      <w:r w:rsidR="00CC12F0" w:rsidRPr="006D04A5">
        <w:rPr>
          <w:sz w:val="20"/>
          <w:szCs w:val="20"/>
        </w:rPr>
        <w:t>u</w:t>
      </w:r>
      <w:r w:rsidR="00547E4A" w:rsidRPr="006D04A5">
        <w:rPr>
          <w:sz w:val="20"/>
          <w:szCs w:val="20"/>
        </w:rPr>
        <w:t>tiliz</w:t>
      </w:r>
      <w:r w:rsidR="00D56A25" w:rsidRPr="006D04A5">
        <w:rPr>
          <w:sz w:val="20"/>
          <w:szCs w:val="20"/>
        </w:rPr>
        <w:t xml:space="preserve">ing </w:t>
      </w:r>
      <w:r w:rsidR="00547E4A" w:rsidRPr="006D04A5">
        <w:rPr>
          <w:sz w:val="20"/>
          <w:szCs w:val="20"/>
        </w:rPr>
        <w:t>parametric t-tests as well as non-parametric Mann-Whitney U tests</w:t>
      </w:r>
      <w:r w:rsidR="00D56A25" w:rsidRPr="006D04A5">
        <w:rPr>
          <w:sz w:val="20"/>
          <w:szCs w:val="20"/>
        </w:rPr>
        <w:t xml:space="preserve"> </w:t>
      </w:r>
      <w:r w:rsidR="00537961" w:rsidRPr="006D04A5">
        <w:rPr>
          <w:sz w:val="20"/>
          <w:szCs w:val="20"/>
        </w:rPr>
        <w:t xml:space="preserve">indicate that Friday the </w:t>
      </w:r>
      <w:r w:rsidR="00A64823" w:rsidRPr="006D04A5">
        <w:rPr>
          <w:sz w:val="20"/>
          <w:szCs w:val="20"/>
        </w:rPr>
        <w:t>thirteenth</w:t>
      </w:r>
      <w:r w:rsidR="00537961" w:rsidRPr="006D04A5">
        <w:rPr>
          <w:sz w:val="20"/>
          <w:szCs w:val="20"/>
        </w:rPr>
        <w:t xml:space="preserve"> </w:t>
      </w:r>
      <w:r w:rsidR="00547E4A" w:rsidRPr="006D04A5">
        <w:rPr>
          <w:sz w:val="20"/>
          <w:szCs w:val="20"/>
        </w:rPr>
        <w:t xml:space="preserve">returns </w:t>
      </w:r>
      <w:r w:rsidR="004A58ED" w:rsidRPr="006D04A5">
        <w:rPr>
          <w:sz w:val="20"/>
          <w:szCs w:val="20"/>
        </w:rPr>
        <w:t>are</w:t>
      </w:r>
      <w:r w:rsidR="00547E4A" w:rsidRPr="006D04A5">
        <w:rPr>
          <w:sz w:val="20"/>
          <w:szCs w:val="20"/>
        </w:rPr>
        <w:t xml:space="preserve"> not significantly </w:t>
      </w:r>
      <w:r w:rsidR="00D56A25" w:rsidRPr="006D04A5">
        <w:rPr>
          <w:sz w:val="20"/>
          <w:szCs w:val="20"/>
        </w:rPr>
        <w:t>different t</w:t>
      </w:r>
      <w:r w:rsidR="00547E4A" w:rsidRPr="006D04A5">
        <w:rPr>
          <w:sz w:val="20"/>
          <w:szCs w:val="20"/>
        </w:rPr>
        <w:t xml:space="preserve">han those of other Fridays for the </w:t>
      </w:r>
      <w:r w:rsidR="00641D38" w:rsidRPr="006D04A5">
        <w:rPr>
          <w:sz w:val="20"/>
          <w:szCs w:val="20"/>
        </w:rPr>
        <w:t>S&amp;P 500 index</w:t>
      </w:r>
      <w:r w:rsidR="00547E4A" w:rsidRPr="006D04A5">
        <w:rPr>
          <w:sz w:val="20"/>
          <w:szCs w:val="20"/>
        </w:rPr>
        <w:t>.</w:t>
      </w:r>
    </w:p>
    <w:p w:rsidR="002C2698" w:rsidRPr="006D04A5" w:rsidRDefault="002C2698" w:rsidP="006D04A5">
      <w:pPr>
        <w:jc w:val="both"/>
        <w:rPr>
          <w:sz w:val="20"/>
          <w:szCs w:val="20"/>
        </w:rPr>
      </w:pPr>
    </w:p>
    <w:p w:rsidR="002C2698" w:rsidRPr="006D04A5" w:rsidRDefault="0093149F" w:rsidP="006D04A5">
      <w:pPr>
        <w:ind w:firstLine="720"/>
        <w:jc w:val="both"/>
        <w:rPr>
          <w:sz w:val="20"/>
          <w:szCs w:val="20"/>
        </w:rPr>
      </w:pPr>
      <w:r w:rsidRPr="006D04A5">
        <w:rPr>
          <w:sz w:val="20"/>
          <w:szCs w:val="20"/>
        </w:rPr>
        <w:t xml:space="preserve">Next, we </w:t>
      </w:r>
      <w:r w:rsidR="002C2698" w:rsidRPr="006D04A5">
        <w:rPr>
          <w:sz w:val="20"/>
          <w:szCs w:val="20"/>
        </w:rPr>
        <w:t xml:space="preserve">divide the overall sample </w:t>
      </w:r>
      <w:r w:rsidRPr="006D04A5">
        <w:rPr>
          <w:sz w:val="20"/>
          <w:szCs w:val="20"/>
        </w:rPr>
        <w:t xml:space="preserve">of the S&amp;P 500 index </w:t>
      </w:r>
      <w:r w:rsidR="002C2698" w:rsidRPr="006D04A5">
        <w:rPr>
          <w:sz w:val="20"/>
          <w:szCs w:val="20"/>
        </w:rPr>
        <w:t>in</w:t>
      </w:r>
      <w:r w:rsidR="007F3B63" w:rsidRPr="006D04A5">
        <w:rPr>
          <w:sz w:val="20"/>
          <w:szCs w:val="20"/>
        </w:rPr>
        <w:t>to six sub-periods</w:t>
      </w:r>
      <w:r w:rsidR="00EE44D6" w:rsidRPr="006D04A5">
        <w:rPr>
          <w:sz w:val="20"/>
          <w:szCs w:val="20"/>
        </w:rPr>
        <w:t xml:space="preserve">.  </w:t>
      </w:r>
      <w:r w:rsidR="002C2698" w:rsidRPr="006D04A5">
        <w:rPr>
          <w:sz w:val="20"/>
          <w:szCs w:val="20"/>
        </w:rPr>
        <w:t xml:space="preserve">The six sub-periods </w:t>
      </w:r>
      <w:r w:rsidR="00550915" w:rsidRPr="006D04A5">
        <w:rPr>
          <w:sz w:val="20"/>
          <w:szCs w:val="20"/>
        </w:rPr>
        <w:t xml:space="preserve">reported in Table 1 </w:t>
      </w:r>
      <w:r w:rsidR="002C2698" w:rsidRPr="006D04A5">
        <w:rPr>
          <w:sz w:val="20"/>
          <w:szCs w:val="20"/>
        </w:rPr>
        <w:t>are as follows: (1) January 1950 to December 1959 (2) January 1960 through December 1969 (3) January 1970 to December 1979 (4) January 1980 to December 1989 (5) January 1990 to December 1999 (6) January 2000 to December 2007.</w:t>
      </w:r>
    </w:p>
    <w:p w:rsidR="00B2711F" w:rsidRPr="006D04A5" w:rsidRDefault="00B2711F" w:rsidP="006D04A5">
      <w:pPr>
        <w:jc w:val="both"/>
        <w:rPr>
          <w:sz w:val="18"/>
          <w:szCs w:val="18"/>
        </w:rPr>
      </w:pPr>
    </w:p>
    <w:p w:rsidR="006D04A5" w:rsidRPr="006D04A5" w:rsidRDefault="006D04A5" w:rsidP="006D04A5">
      <w:pPr>
        <w:ind w:firstLine="720"/>
        <w:jc w:val="both"/>
        <w:rPr>
          <w:sz w:val="20"/>
          <w:szCs w:val="20"/>
        </w:rPr>
      </w:pPr>
      <w:r w:rsidRPr="006D04A5">
        <w:rPr>
          <w:sz w:val="20"/>
          <w:szCs w:val="20"/>
        </w:rPr>
        <w:t>When we examine the Friday the thirteenth effect over decades, the results did not exhibit significant differences in every sub-period.  In fact, returns on Friday the thirteenth were lower than other Fridays in only two out of the six sub-periods.  When we utilize significance tests, we find Friday the thirteenth returns are significantly lower than other Fridays only in the 1970-79 decade.  These findings are consistent with results of earlier studies that reported that the seventies were the only anomalous decade that had Friday the thirteenth effect.  Alternately, returns are significantly higher than the returns of other Fridays at the 0.10 level of significance for the 1990-99 decade.  Additionally, Friday the thirteenth returns were higher than other Fridays although not statistically significant in the last sub-period of 2000-07.  We concur with Dyl and Maberly (1988) that this effect is not pervasive among sub-periods and therefore there is no Friday the thirteenth effect.</w:t>
      </w:r>
    </w:p>
    <w:p w:rsidR="002C2698" w:rsidRDefault="002C2698" w:rsidP="006D04A5">
      <w:pPr>
        <w:jc w:val="both"/>
        <w:rPr>
          <w:sz w:val="18"/>
          <w:szCs w:val="18"/>
        </w:rPr>
      </w:pPr>
    </w:p>
    <w:p w:rsidR="006D04A5" w:rsidRPr="006D04A5" w:rsidRDefault="006D04A5" w:rsidP="006D04A5">
      <w:pPr>
        <w:jc w:val="both"/>
        <w:rPr>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5"/>
        <w:gridCol w:w="1000"/>
        <w:gridCol w:w="1076"/>
        <w:gridCol w:w="1076"/>
        <w:gridCol w:w="1076"/>
        <w:gridCol w:w="1076"/>
        <w:gridCol w:w="1076"/>
        <w:gridCol w:w="1071"/>
      </w:tblGrid>
      <w:tr w:rsidR="0027621A" w:rsidRPr="006D04A5" w:rsidTr="006D04A5">
        <w:trPr>
          <w:trHeight w:val="520"/>
          <w:jc w:val="center"/>
        </w:trPr>
        <w:tc>
          <w:tcPr>
            <w:tcW w:w="5000" w:type="pct"/>
            <w:gridSpan w:val="8"/>
            <w:tcBorders>
              <w:bottom w:val="single" w:sz="4" w:space="0" w:color="auto"/>
            </w:tcBorders>
          </w:tcPr>
          <w:p w:rsidR="0027621A" w:rsidRPr="006D04A5" w:rsidRDefault="0027621A" w:rsidP="006D04A5">
            <w:pPr>
              <w:jc w:val="center"/>
              <w:rPr>
                <w:b/>
                <w:sz w:val="18"/>
                <w:szCs w:val="18"/>
              </w:rPr>
            </w:pPr>
            <w:r w:rsidRPr="006D04A5">
              <w:rPr>
                <w:b/>
                <w:sz w:val="18"/>
                <w:szCs w:val="18"/>
              </w:rPr>
              <w:lastRenderedPageBreak/>
              <w:t>Table 1</w:t>
            </w:r>
          </w:p>
          <w:p w:rsidR="0027621A" w:rsidRPr="006D04A5" w:rsidRDefault="0027621A" w:rsidP="006D04A5">
            <w:pPr>
              <w:jc w:val="center"/>
              <w:rPr>
                <w:b/>
                <w:sz w:val="18"/>
                <w:szCs w:val="18"/>
              </w:rPr>
            </w:pPr>
            <w:r w:rsidRPr="006D04A5">
              <w:rPr>
                <w:b/>
                <w:sz w:val="18"/>
                <w:szCs w:val="18"/>
              </w:rPr>
              <w:t>Friday Returns to the Standard and Poor’s 500 Index: 1950-2007</w:t>
            </w:r>
          </w:p>
        </w:tc>
      </w:tr>
      <w:tr w:rsidR="0027621A" w:rsidRPr="006D04A5" w:rsidTr="006D04A5">
        <w:trPr>
          <w:jc w:val="center"/>
        </w:trPr>
        <w:tc>
          <w:tcPr>
            <w:tcW w:w="1109" w:type="pct"/>
            <w:tcBorders>
              <w:top w:val="single" w:sz="4" w:space="0" w:color="auto"/>
              <w:bottom w:val="single" w:sz="4" w:space="0" w:color="auto"/>
            </w:tcBorders>
          </w:tcPr>
          <w:p w:rsidR="0027621A" w:rsidRPr="006D04A5" w:rsidRDefault="0027621A" w:rsidP="006D04A5">
            <w:pPr>
              <w:jc w:val="both"/>
              <w:rPr>
                <w:sz w:val="18"/>
                <w:szCs w:val="18"/>
              </w:rPr>
            </w:pPr>
          </w:p>
        </w:tc>
        <w:tc>
          <w:tcPr>
            <w:tcW w:w="522"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Overall</w:t>
            </w:r>
          </w:p>
        </w:tc>
        <w:tc>
          <w:tcPr>
            <w:tcW w:w="562"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1950-59</w:t>
            </w:r>
          </w:p>
        </w:tc>
        <w:tc>
          <w:tcPr>
            <w:tcW w:w="562"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1960-69</w:t>
            </w:r>
          </w:p>
        </w:tc>
        <w:tc>
          <w:tcPr>
            <w:tcW w:w="562"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1970-79</w:t>
            </w:r>
          </w:p>
        </w:tc>
        <w:tc>
          <w:tcPr>
            <w:tcW w:w="562"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1980-89</w:t>
            </w:r>
          </w:p>
        </w:tc>
        <w:tc>
          <w:tcPr>
            <w:tcW w:w="562"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1990-99</w:t>
            </w:r>
          </w:p>
        </w:tc>
        <w:tc>
          <w:tcPr>
            <w:tcW w:w="557"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2000-07</w:t>
            </w:r>
          </w:p>
        </w:tc>
      </w:tr>
      <w:tr w:rsidR="0027621A" w:rsidRPr="006D04A5" w:rsidTr="006D04A5">
        <w:trPr>
          <w:jc w:val="center"/>
        </w:trPr>
        <w:tc>
          <w:tcPr>
            <w:tcW w:w="1109" w:type="pct"/>
            <w:tcBorders>
              <w:top w:val="single" w:sz="4" w:space="0" w:color="auto"/>
            </w:tcBorders>
          </w:tcPr>
          <w:p w:rsidR="0027621A" w:rsidRPr="006D04A5" w:rsidRDefault="0027621A" w:rsidP="006D04A5">
            <w:pPr>
              <w:jc w:val="center"/>
              <w:rPr>
                <w:b/>
                <w:i/>
                <w:sz w:val="18"/>
                <w:szCs w:val="18"/>
              </w:rPr>
            </w:pPr>
            <w:r w:rsidRPr="006D04A5">
              <w:rPr>
                <w:b/>
                <w:i/>
                <w:sz w:val="18"/>
                <w:szCs w:val="18"/>
              </w:rPr>
              <w:t>Friday the 13th</w:t>
            </w:r>
          </w:p>
        </w:tc>
        <w:tc>
          <w:tcPr>
            <w:tcW w:w="522" w:type="pct"/>
            <w:tcBorders>
              <w:top w:val="single" w:sz="4" w:space="0" w:color="auto"/>
            </w:tcBorders>
          </w:tcPr>
          <w:p w:rsidR="0027621A" w:rsidRPr="006D04A5" w:rsidRDefault="0027621A" w:rsidP="006D04A5">
            <w:pPr>
              <w:jc w:val="right"/>
              <w:rPr>
                <w:sz w:val="18"/>
                <w:szCs w:val="18"/>
              </w:rPr>
            </w:pPr>
          </w:p>
        </w:tc>
        <w:tc>
          <w:tcPr>
            <w:tcW w:w="562" w:type="pct"/>
            <w:tcBorders>
              <w:top w:val="single" w:sz="4" w:space="0" w:color="auto"/>
            </w:tcBorders>
          </w:tcPr>
          <w:p w:rsidR="0027621A" w:rsidRPr="006D04A5" w:rsidRDefault="0027621A" w:rsidP="006D04A5">
            <w:pPr>
              <w:jc w:val="right"/>
              <w:rPr>
                <w:sz w:val="18"/>
                <w:szCs w:val="18"/>
              </w:rPr>
            </w:pPr>
          </w:p>
        </w:tc>
        <w:tc>
          <w:tcPr>
            <w:tcW w:w="562" w:type="pct"/>
            <w:tcBorders>
              <w:top w:val="single" w:sz="4" w:space="0" w:color="auto"/>
            </w:tcBorders>
          </w:tcPr>
          <w:p w:rsidR="0027621A" w:rsidRPr="006D04A5" w:rsidRDefault="0027621A" w:rsidP="006D04A5">
            <w:pPr>
              <w:jc w:val="right"/>
              <w:rPr>
                <w:sz w:val="18"/>
                <w:szCs w:val="18"/>
              </w:rPr>
            </w:pPr>
          </w:p>
        </w:tc>
        <w:tc>
          <w:tcPr>
            <w:tcW w:w="562" w:type="pct"/>
            <w:tcBorders>
              <w:top w:val="single" w:sz="4" w:space="0" w:color="auto"/>
            </w:tcBorders>
          </w:tcPr>
          <w:p w:rsidR="0027621A" w:rsidRPr="006D04A5" w:rsidRDefault="0027621A" w:rsidP="006D04A5">
            <w:pPr>
              <w:jc w:val="right"/>
              <w:rPr>
                <w:sz w:val="18"/>
                <w:szCs w:val="18"/>
              </w:rPr>
            </w:pPr>
          </w:p>
        </w:tc>
        <w:tc>
          <w:tcPr>
            <w:tcW w:w="562" w:type="pct"/>
            <w:tcBorders>
              <w:top w:val="single" w:sz="4" w:space="0" w:color="auto"/>
            </w:tcBorders>
          </w:tcPr>
          <w:p w:rsidR="0027621A" w:rsidRPr="006D04A5" w:rsidRDefault="0027621A" w:rsidP="006D04A5">
            <w:pPr>
              <w:jc w:val="right"/>
              <w:rPr>
                <w:sz w:val="18"/>
                <w:szCs w:val="18"/>
              </w:rPr>
            </w:pPr>
          </w:p>
        </w:tc>
        <w:tc>
          <w:tcPr>
            <w:tcW w:w="562" w:type="pct"/>
            <w:tcBorders>
              <w:top w:val="single" w:sz="4" w:space="0" w:color="auto"/>
            </w:tcBorders>
          </w:tcPr>
          <w:p w:rsidR="0027621A" w:rsidRPr="006D04A5" w:rsidRDefault="0027621A" w:rsidP="006D04A5">
            <w:pPr>
              <w:jc w:val="right"/>
              <w:rPr>
                <w:sz w:val="18"/>
                <w:szCs w:val="18"/>
              </w:rPr>
            </w:pPr>
          </w:p>
        </w:tc>
        <w:tc>
          <w:tcPr>
            <w:tcW w:w="557" w:type="pct"/>
            <w:tcBorders>
              <w:top w:val="single" w:sz="4" w:space="0" w:color="auto"/>
            </w:tcBorders>
          </w:tcPr>
          <w:p w:rsidR="0027621A" w:rsidRPr="006D04A5" w:rsidRDefault="0027621A" w:rsidP="006D04A5">
            <w:pPr>
              <w:jc w:val="right"/>
              <w:rPr>
                <w:sz w:val="18"/>
                <w:szCs w:val="18"/>
              </w:rPr>
            </w:pPr>
          </w:p>
        </w:tc>
      </w:tr>
      <w:tr w:rsidR="0027621A" w:rsidRPr="006D04A5" w:rsidTr="006D04A5">
        <w:trPr>
          <w:jc w:val="center"/>
        </w:trPr>
        <w:tc>
          <w:tcPr>
            <w:tcW w:w="1109" w:type="pct"/>
          </w:tcPr>
          <w:p w:rsidR="0027621A" w:rsidRPr="006D04A5" w:rsidRDefault="0027621A" w:rsidP="006D04A5">
            <w:pPr>
              <w:jc w:val="both"/>
              <w:rPr>
                <w:sz w:val="18"/>
                <w:szCs w:val="18"/>
              </w:rPr>
            </w:pPr>
            <w:r w:rsidRPr="006D04A5">
              <w:rPr>
                <w:sz w:val="18"/>
                <w:szCs w:val="18"/>
              </w:rPr>
              <w:t>Mean</w:t>
            </w:r>
          </w:p>
        </w:tc>
        <w:tc>
          <w:tcPr>
            <w:tcW w:w="522" w:type="pct"/>
          </w:tcPr>
          <w:p w:rsidR="0027621A" w:rsidRPr="006D04A5" w:rsidRDefault="0027621A" w:rsidP="006D04A5">
            <w:pPr>
              <w:jc w:val="right"/>
              <w:rPr>
                <w:sz w:val="18"/>
                <w:szCs w:val="18"/>
              </w:rPr>
            </w:pPr>
            <w:r w:rsidRPr="006D04A5">
              <w:rPr>
                <w:sz w:val="18"/>
                <w:szCs w:val="18"/>
              </w:rPr>
              <w:t>0.0759</w:t>
            </w:r>
          </w:p>
        </w:tc>
        <w:tc>
          <w:tcPr>
            <w:tcW w:w="562" w:type="pct"/>
          </w:tcPr>
          <w:p w:rsidR="0027621A" w:rsidRPr="006D04A5" w:rsidRDefault="0027621A" w:rsidP="006D04A5">
            <w:pPr>
              <w:jc w:val="right"/>
              <w:rPr>
                <w:sz w:val="18"/>
                <w:szCs w:val="18"/>
              </w:rPr>
            </w:pPr>
            <w:r w:rsidRPr="006D04A5">
              <w:rPr>
                <w:sz w:val="18"/>
                <w:szCs w:val="18"/>
              </w:rPr>
              <w:t>0.2612</w:t>
            </w:r>
          </w:p>
        </w:tc>
        <w:tc>
          <w:tcPr>
            <w:tcW w:w="562" w:type="pct"/>
          </w:tcPr>
          <w:p w:rsidR="0027621A" w:rsidRPr="006D04A5" w:rsidRDefault="0027621A" w:rsidP="006D04A5">
            <w:pPr>
              <w:jc w:val="right"/>
              <w:rPr>
                <w:sz w:val="18"/>
                <w:szCs w:val="18"/>
              </w:rPr>
            </w:pPr>
            <w:r w:rsidRPr="006D04A5">
              <w:rPr>
                <w:sz w:val="18"/>
                <w:szCs w:val="18"/>
              </w:rPr>
              <w:t>0.1656</w:t>
            </w:r>
          </w:p>
        </w:tc>
        <w:tc>
          <w:tcPr>
            <w:tcW w:w="562" w:type="pct"/>
          </w:tcPr>
          <w:p w:rsidR="0027621A" w:rsidRPr="006D04A5" w:rsidRDefault="0027621A" w:rsidP="006D04A5">
            <w:pPr>
              <w:jc w:val="right"/>
              <w:rPr>
                <w:sz w:val="18"/>
                <w:szCs w:val="18"/>
              </w:rPr>
            </w:pPr>
            <w:r w:rsidRPr="006D04A5">
              <w:rPr>
                <w:sz w:val="18"/>
                <w:szCs w:val="18"/>
              </w:rPr>
              <w:t>-0.4817</w:t>
            </w:r>
          </w:p>
        </w:tc>
        <w:tc>
          <w:tcPr>
            <w:tcW w:w="562" w:type="pct"/>
          </w:tcPr>
          <w:p w:rsidR="0027621A" w:rsidRPr="006D04A5" w:rsidRDefault="0027621A" w:rsidP="006D04A5">
            <w:pPr>
              <w:jc w:val="right"/>
              <w:rPr>
                <w:sz w:val="18"/>
                <w:szCs w:val="18"/>
              </w:rPr>
            </w:pPr>
            <w:r w:rsidRPr="006D04A5">
              <w:rPr>
                <w:sz w:val="18"/>
                <w:szCs w:val="18"/>
              </w:rPr>
              <w:t>-0.0966</w:t>
            </w:r>
          </w:p>
        </w:tc>
        <w:tc>
          <w:tcPr>
            <w:tcW w:w="562" w:type="pct"/>
          </w:tcPr>
          <w:p w:rsidR="0027621A" w:rsidRPr="006D04A5" w:rsidRDefault="0027621A" w:rsidP="006D04A5">
            <w:pPr>
              <w:jc w:val="right"/>
              <w:rPr>
                <w:sz w:val="18"/>
                <w:szCs w:val="18"/>
              </w:rPr>
            </w:pPr>
            <w:r w:rsidRPr="006D04A5">
              <w:rPr>
                <w:sz w:val="18"/>
                <w:szCs w:val="18"/>
              </w:rPr>
              <w:t>0.4444</w:t>
            </w:r>
          </w:p>
        </w:tc>
        <w:tc>
          <w:tcPr>
            <w:tcW w:w="557" w:type="pct"/>
          </w:tcPr>
          <w:p w:rsidR="0027621A" w:rsidRPr="006D04A5" w:rsidRDefault="0027621A" w:rsidP="006D04A5">
            <w:pPr>
              <w:jc w:val="right"/>
              <w:rPr>
                <w:sz w:val="18"/>
                <w:szCs w:val="18"/>
              </w:rPr>
            </w:pPr>
            <w:r w:rsidRPr="006D04A5">
              <w:rPr>
                <w:sz w:val="18"/>
                <w:szCs w:val="18"/>
              </w:rPr>
              <w:t>0.1736</w:t>
            </w:r>
          </w:p>
        </w:tc>
      </w:tr>
      <w:tr w:rsidR="0027621A" w:rsidRPr="006D04A5" w:rsidTr="006D04A5">
        <w:trPr>
          <w:jc w:val="center"/>
        </w:trPr>
        <w:tc>
          <w:tcPr>
            <w:tcW w:w="1109" w:type="pct"/>
          </w:tcPr>
          <w:p w:rsidR="0027621A" w:rsidRPr="006D04A5" w:rsidRDefault="0027621A" w:rsidP="006D04A5">
            <w:pPr>
              <w:jc w:val="both"/>
              <w:rPr>
                <w:sz w:val="18"/>
                <w:szCs w:val="18"/>
              </w:rPr>
            </w:pPr>
            <w:r w:rsidRPr="006D04A5">
              <w:rPr>
                <w:sz w:val="18"/>
                <w:szCs w:val="18"/>
              </w:rPr>
              <w:t>Standard deviation</w:t>
            </w:r>
          </w:p>
        </w:tc>
        <w:tc>
          <w:tcPr>
            <w:tcW w:w="522" w:type="pct"/>
          </w:tcPr>
          <w:p w:rsidR="0027621A" w:rsidRPr="006D04A5" w:rsidRDefault="0027621A" w:rsidP="006D04A5">
            <w:pPr>
              <w:jc w:val="right"/>
              <w:rPr>
                <w:sz w:val="18"/>
                <w:szCs w:val="18"/>
              </w:rPr>
            </w:pPr>
            <w:r w:rsidRPr="006D04A5">
              <w:rPr>
                <w:sz w:val="18"/>
                <w:szCs w:val="18"/>
              </w:rPr>
              <w:t>1.0073</w:t>
            </w:r>
          </w:p>
        </w:tc>
        <w:tc>
          <w:tcPr>
            <w:tcW w:w="562" w:type="pct"/>
          </w:tcPr>
          <w:p w:rsidR="0027621A" w:rsidRPr="006D04A5" w:rsidRDefault="0027621A" w:rsidP="006D04A5">
            <w:pPr>
              <w:jc w:val="right"/>
              <w:rPr>
                <w:sz w:val="18"/>
                <w:szCs w:val="18"/>
              </w:rPr>
            </w:pPr>
            <w:r w:rsidRPr="006D04A5">
              <w:rPr>
                <w:sz w:val="18"/>
                <w:szCs w:val="18"/>
              </w:rPr>
              <w:t>0.4522</w:t>
            </w:r>
          </w:p>
        </w:tc>
        <w:tc>
          <w:tcPr>
            <w:tcW w:w="562" w:type="pct"/>
          </w:tcPr>
          <w:p w:rsidR="0027621A" w:rsidRPr="006D04A5" w:rsidRDefault="0027621A" w:rsidP="006D04A5">
            <w:pPr>
              <w:jc w:val="right"/>
              <w:rPr>
                <w:sz w:val="18"/>
                <w:szCs w:val="18"/>
              </w:rPr>
            </w:pPr>
            <w:r w:rsidRPr="006D04A5">
              <w:rPr>
                <w:sz w:val="18"/>
                <w:szCs w:val="18"/>
              </w:rPr>
              <w:t>0.4148</w:t>
            </w:r>
          </w:p>
        </w:tc>
        <w:tc>
          <w:tcPr>
            <w:tcW w:w="562" w:type="pct"/>
          </w:tcPr>
          <w:p w:rsidR="0027621A" w:rsidRPr="006D04A5" w:rsidRDefault="0027621A" w:rsidP="006D04A5">
            <w:pPr>
              <w:jc w:val="right"/>
              <w:rPr>
                <w:sz w:val="18"/>
                <w:szCs w:val="18"/>
              </w:rPr>
            </w:pPr>
            <w:r w:rsidRPr="006D04A5">
              <w:rPr>
                <w:sz w:val="18"/>
                <w:szCs w:val="18"/>
              </w:rPr>
              <w:t>0.6460</w:t>
            </w:r>
          </w:p>
        </w:tc>
        <w:tc>
          <w:tcPr>
            <w:tcW w:w="562" w:type="pct"/>
          </w:tcPr>
          <w:p w:rsidR="0027621A" w:rsidRPr="006D04A5" w:rsidRDefault="0027621A" w:rsidP="006D04A5">
            <w:pPr>
              <w:jc w:val="right"/>
              <w:rPr>
                <w:sz w:val="18"/>
                <w:szCs w:val="18"/>
              </w:rPr>
            </w:pPr>
            <w:r w:rsidRPr="006D04A5">
              <w:rPr>
                <w:sz w:val="18"/>
                <w:szCs w:val="18"/>
              </w:rPr>
              <w:t>1.7573</w:t>
            </w:r>
          </w:p>
        </w:tc>
        <w:tc>
          <w:tcPr>
            <w:tcW w:w="562" w:type="pct"/>
          </w:tcPr>
          <w:p w:rsidR="0027621A" w:rsidRPr="006D04A5" w:rsidRDefault="0027621A" w:rsidP="006D04A5">
            <w:pPr>
              <w:jc w:val="right"/>
              <w:rPr>
                <w:sz w:val="18"/>
                <w:szCs w:val="18"/>
              </w:rPr>
            </w:pPr>
            <w:r w:rsidRPr="006D04A5">
              <w:rPr>
                <w:sz w:val="18"/>
                <w:szCs w:val="18"/>
              </w:rPr>
              <w:t>0.7720</w:t>
            </w:r>
          </w:p>
        </w:tc>
        <w:tc>
          <w:tcPr>
            <w:tcW w:w="557" w:type="pct"/>
          </w:tcPr>
          <w:p w:rsidR="0027621A" w:rsidRPr="006D04A5" w:rsidRDefault="0027621A" w:rsidP="006D04A5">
            <w:pPr>
              <w:jc w:val="right"/>
              <w:rPr>
                <w:sz w:val="18"/>
                <w:szCs w:val="18"/>
              </w:rPr>
            </w:pPr>
            <w:r w:rsidRPr="006D04A5">
              <w:rPr>
                <w:sz w:val="18"/>
                <w:szCs w:val="18"/>
              </w:rPr>
              <w:t>1.1626</w:t>
            </w:r>
          </w:p>
        </w:tc>
      </w:tr>
      <w:tr w:rsidR="0027621A" w:rsidRPr="006D04A5" w:rsidTr="006D04A5">
        <w:trPr>
          <w:jc w:val="center"/>
        </w:trPr>
        <w:tc>
          <w:tcPr>
            <w:tcW w:w="1109" w:type="pct"/>
          </w:tcPr>
          <w:p w:rsidR="0027621A" w:rsidRPr="006D04A5" w:rsidRDefault="0027621A" w:rsidP="006D04A5">
            <w:pPr>
              <w:jc w:val="both"/>
              <w:rPr>
                <w:sz w:val="18"/>
                <w:szCs w:val="18"/>
              </w:rPr>
            </w:pPr>
            <w:r w:rsidRPr="006D04A5">
              <w:rPr>
                <w:sz w:val="18"/>
                <w:szCs w:val="18"/>
              </w:rPr>
              <w:t>Observations</w:t>
            </w:r>
          </w:p>
        </w:tc>
        <w:tc>
          <w:tcPr>
            <w:tcW w:w="522" w:type="pct"/>
          </w:tcPr>
          <w:p w:rsidR="0027621A" w:rsidRPr="006D04A5" w:rsidRDefault="0027621A" w:rsidP="006D04A5">
            <w:pPr>
              <w:jc w:val="right"/>
              <w:rPr>
                <w:sz w:val="18"/>
                <w:szCs w:val="18"/>
              </w:rPr>
            </w:pPr>
            <w:r w:rsidRPr="006D04A5">
              <w:rPr>
                <w:sz w:val="18"/>
                <w:szCs w:val="18"/>
              </w:rPr>
              <w:t>97</w:t>
            </w:r>
          </w:p>
        </w:tc>
        <w:tc>
          <w:tcPr>
            <w:tcW w:w="562" w:type="pct"/>
          </w:tcPr>
          <w:p w:rsidR="0027621A" w:rsidRPr="006D04A5" w:rsidRDefault="0027621A" w:rsidP="006D04A5">
            <w:pPr>
              <w:jc w:val="right"/>
              <w:rPr>
                <w:sz w:val="18"/>
                <w:szCs w:val="18"/>
              </w:rPr>
            </w:pPr>
            <w:r w:rsidRPr="006D04A5">
              <w:rPr>
                <w:sz w:val="18"/>
                <w:szCs w:val="18"/>
              </w:rPr>
              <w:t>19</w:t>
            </w:r>
          </w:p>
        </w:tc>
        <w:tc>
          <w:tcPr>
            <w:tcW w:w="562" w:type="pct"/>
          </w:tcPr>
          <w:p w:rsidR="0027621A" w:rsidRPr="006D04A5" w:rsidRDefault="0027621A" w:rsidP="006D04A5">
            <w:pPr>
              <w:jc w:val="right"/>
              <w:rPr>
                <w:sz w:val="18"/>
                <w:szCs w:val="18"/>
              </w:rPr>
            </w:pPr>
            <w:r w:rsidRPr="006D04A5">
              <w:rPr>
                <w:sz w:val="18"/>
                <w:szCs w:val="18"/>
              </w:rPr>
              <w:t>16</w:t>
            </w:r>
          </w:p>
        </w:tc>
        <w:tc>
          <w:tcPr>
            <w:tcW w:w="562" w:type="pct"/>
          </w:tcPr>
          <w:p w:rsidR="0027621A" w:rsidRPr="006D04A5" w:rsidRDefault="0027621A" w:rsidP="006D04A5">
            <w:pPr>
              <w:jc w:val="right"/>
              <w:rPr>
                <w:sz w:val="18"/>
                <w:szCs w:val="18"/>
              </w:rPr>
            </w:pPr>
            <w:r w:rsidRPr="006D04A5">
              <w:rPr>
                <w:sz w:val="18"/>
                <w:szCs w:val="18"/>
              </w:rPr>
              <w:t>16</w:t>
            </w:r>
          </w:p>
        </w:tc>
        <w:tc>
          <w:tcPr>
            <w:tcW w:w="562" w:type="pct"/>
          </w:tcPr>
          <w:p w:rsidR="0027621A" w:rsidRPr="006D04A5" w:rsidRDefault="0027621A" w:rsidP="006D04A5">
            <w:pPr>
              <w:jc w:val="right"/>
              <w:rPr>
                <w:sz w:val="18"/>
                <w:szCs w:val="18"/>
              </w:rPr>
            </w:pPr>
            <w:r w:rsidRPr="006D04A5">
              <w:rPr>
                <w:sz w:val="18"/>
                <w:szCs w:val="18"/>
              </w:rPr>
              <w:t>18</w:t>
            </w:r>
          </w:p>
        </w:tc>
        <w:tc>
          <w:tcPr>
            <w:tcW w:w="562" w:type="pct"/>
          </w:tcPr>
          <w:p w:rsidR="0027621A" w:rsidRPr="006D04A5" w:rsidRDefault="0027621A" w:rsidP="006D04A5">
            <w:pPr>
              <w:jc w:val="right"/>
              <w:rPr>
                <w:sz w:val="18"/>
                <w:szCs w:val="18"/>
              </w:rPr>
            </w:pPr>
            <w:r w:rsidRPr="006D04A5">
              <w:rPr>
                <w:sz w:val="18"/>
                <w:szCs w:val="18"/>
              </w:rPr>
              <w:t>16</w:t>
            </w:r>
          </w:p>
        </w:tc>
        <w:tc>
          <w:tcPr>
            <w:tcW w:w="557" w:type="pct"/>
          </w:tcPr>
          <w:p w:rsidR="0027621A" w:rsidRPr="006D04A5" w:rsidRDefault="0027621A" w:rsidP="006D04A5">
            <w:pPr>
              <w:jc w:val="right"/>
              <w:rPr>
                <w:sz w:val="18"/>
                <w:szCs w:val="18"/>
              </w:rPr>
            </w:pPr>
            <w:r w:rsidRPr="006D04A5">
              <w:rPr>
                <w:sz w:val="18"/>
                <w:szCs w:val="18"/>
              </w:rPr>
              <w:t>12</w:t>
            </w:r>
          </w:p>
        </w:tc>
      </w:tr>
      <w:tr w:rsidR="0027621A" w:rsidRPr="006D04A5" w:rsidTr="006D04A5">
        <w:trPr>
          <w:jc w:val="center"/>
        </w:trPr>
        <w:tc>
          <w:tcPr>
            <w:tcW w:w="1109" w:type="pct"/>
          </w:tcPr>
          <w:p w:rsidR="0027621A" w:rsidRPr="006D04A5" w:rsidRDefault="0027621A" w:rsidP="006D04A5">
            <w:pPr>
              <w:jc w:val="center"/>
              <w:rPr>
                <w:b/>
                <w:i/>
                <w:sz w:val="18"/>
                <w:szCs w:val="18"/>
              </w:rPr>
            </w:pPr>
            <w:r w:rsidRPr="006D04A5">
              <w:rPr>
                <w:b/>
                <w:i/>
                <w:sz w:val="18"/>
                <w:szCs w:val="18"/>
              </w:rPr>
              <w:t>Other Fridays</w:t>
            </w:r>
          </w:p>
        </w:tc>
        <w:tc>
          <w:tcPr>
            <w:tcW w:w="522" w:type="pct"/>
          </w:tcPr>
          <w:p w:rsidR="0027621A" w:rsidRPr="006D04A5" w:rsidRDefault="0027621A" w:rsidP="006D04A5">
            <w:pPr>
              <w:jc w:val="right"/>
              <w:rPr>
                <w:sz w:val="18"/>
                <w:szCs w:val="18"/>
              </w:rPr>
            </w:pPr>
          </w:p>
        </w:tc>
        <w:tc>
          <w:tcPr>
            <w:tcW w:w="562" w:type="pct"/>
          </w:tcPr>
          <w:p w:rsidR="0027621A" w:rsidRPr="006D04A5" w:rsidRDefault="0027621A" w:rsidP="006D04A5">
            <w:pPr>
              <w:jc w:val="right"/>
              <w:rPr>
                <w:sz w:val="18"/>
                <w:szCs w:val="18"/>
              </w:rPr>
            </w:pPr>
          </w:p>
        </w:tc>
        <w:tc>
          <w:tcPr>
            <w:tcW w:w="562" w:type="pct"/>
          </w:tcPr>
          <w:p w:rsidR="0027621A" w:rsidRPr="006D04A5" w:rsidRDefault="0027621A" w:rsidP="006D04A5">
            <w:pPr>
              <w:jc w:val="right"/>
              <w:rPr>
                <w:sz w:val="18"/>
                <w:szCs w:val="18"/>
              </w:rPr>
            </w:pPr>
          </w:p>
        </w:tc>
        <w:tc>
          <w:tcPr>
            <w:tcW w:w="562" w:type="pct"/>
          </w:tcPr>
          <w:p w:rsidR="0027621A" w:rsidRPr="006D04A5" w:rsidRDefault="0027621A" w:rsidP="006D04A5">
            <w:pPr>
              <w:jc w:val="right"/>
              <w:rPr>
                <w:sz w:val="18"/>
                <w:szCs w:val="18"/>
              </w:rPr>
            </w:pPr>
          </w:p>
        </w:tc>
        <w:tc>
          <w:tcPr>
            <w:tcW w:w="562" w:type="pct"/>
          </w:tcPr>
          <w:p w:rsidR="0027621A" w:rsidRPr="006D04A5" w:rsidRDefault="0027621A" w:rsidP="006D04A5">
            <w:pPr>
              <w:jc w:val="right"/>
              <w:rPr>
                <w:sz w:val="18"/>
                <w:szCs w:val="18"/>
              </w:rPr>
            </w:pPr>
          </w:p>
        </w:tc>
        <w:tc>
          <w:tcPr>
            <w:tcW w:w="562" w:type="pct"/>
          </w:tcPr>
          <w:p w:rsidR="0027621A" w:rsidRPr="006D04A5" w:rsidRDefault="0027621A" w:rsidP="006D04A5">
            <w:pPr>
              <w:jc w:val="right"/>
              <w:rPr>
                <w:sz w:val="18"/>
                <w:szCs w:val="18"/>
              </w:rPr>
            </w:pPr>
          </w:p>
        </w:tc>
        <w:tc>
          <w:tcPr>
            <w:tcW w:w="557" w:type="pct"/>
          </w:tcPr>
          <w:p w:rsidR="0027621A" w:rsidRPr="006D04A5" w:rsidRDefault="0027621A" w:rsidP="006D04A5">
            <w:pPr>
              <w:jc w:val="right"/>
              <w:rPr>
                <w:sz w:val="18"/>
                <w:szCs w:val="18"/>
              </w:rPr>
            </w:pPr>
          </w:p>
        </w:tc>
      </w:tr>
      <w:tr w:rsidR="0027621A" w:rsidRPr="006D04A5" w:rsidTr="006D04A5">
        <w:trPr>
          <w:jc w:val="center"/>
        </w:trPr>
        <w:tc>
          <w:tcPr>
            <w:tcW w:w="1109" w:type="pct"/>
          </w:tcPr>
          <w:p w:rsidR="0027621A" w:rsidRPr="006D04A5" w:rsidRDefault="0027621A" w:rsidP="006D04A5">
            <w:pPr>
              <w:jc w:val="both"/>
              <w:rPr>
                <w:sz w:val="18"/>
                <w:szCs w:val="18"/>
              </w:rPr>
            </w:pPr>
            <w:r w:rsidRPr="006D04A5">
              <w:rPr>
                <w:sz w:val="18"/>
                <w:szCs w:val="18"/>
              </w:rPr>
              <w:t>Mean</w:t>
            </w:r>
          </w:p>
        </w:tc>
        <w:tc>
          <w:tcPr>
            <w:tcW w:w="522" w:type="pct"/>
          </w:tcPr>
          <w:p w:rsidR="0027621A" w:rsidRPr="006D04A5" w:rsidRDefault="0027621A" w:rsidP="006D04A5">
            <w:pPr>
              <w:jc w:val="right"/>
              <w:rPr>
                <w:sz w:val="18"/>
                <w:szCs w:val="18"/>
              </w:rPr>
            </w:pPr>
            <w:r w:rsidRPr="006D04A5">
              <w:rPr>
                <w:sz w:val="18"/>
                <w:szCs w:val="18"/>
              </w:rPr>
              <w:t>0.0766</w:t>
            </w:r>
          </w:p>
        </w:tc>
        <w:tc>
          <w:tcPr>
            <w:tcW w:w="562" w:type="pct"/>
          </w:tcPr>
          <w:p w:rsidR="0027621A" w:rsidRPr="006D04A5" w:rsidRDefault="0027621A" w:rsidP="006D04A5">
            <w:pPr>
              <w:jc w:val="right"/>
              <w:rPr>
                <w:sz w:val="18"/>
                <w:szCs w:val="18"/>
              </w:rPr>
            </w:pPr>
            <w:r w:rsidRPr="006D04A5">
              <w:rPr>
                <w:sz w:val="18"/>
                <w:szCs w:val="18"/>
              </w:rPr>
              <w:t>0.1847</w:t>
            </w:r>
          </w:p>
        </w:tc>
        <w:tc>
          <w:tcPr>
            <w:tcW w:w="562" w:type="pct"/>
          </w:tcPr>
          <w:p w:rsidR="0027621A" w:rsidRPr="006D04A5" w:rsidRDefault="0027621A" w:rsidP="006D04A5">
            <w:pPr>
              <w:jc w:val="right"/>
              <w:rPr>
                <w:sz w:val="18"/>
                <w:szCs w:val="18"/>
              </w:rPr>
            </w:pPr>
            <w:r w:rsidRPr="006D04A5">
              <w:rPr>
                <w:sz w:val="18"/>
                <w:szCs w:val="18"/>
              </w:rPr>
              <w:t>0.0841</w:t>
            </w:r>
          </w:p>
        </w:tc>
        <w:tc>
          <w:tcPr>
            <w:tcW w:w="562" w:type="pct"/>
          </w:tcPr>
          <w:p w:rsidR="0027621A" w:rsidRPr="006D04A5" w:rsidRDefault="0027621A" w:rsidP="006D04A5">
            <w:pPr>
              <w:jc w:val="right"/>
              <w:rPr>
                <w:sz w:val="18"/>
                <w:szCs w:val="18"/>
              </w:rPr>
            </w:pPr>
            <w:r w:rsidRPr="006D04A5">
              <w:rPr>
                <w:sz w:val="18"/>
                <w:szCs w:val="18"/>
              </w:rPr>
              <w:t>0.0879</w:t>
            </w:r>
          </w:p>
        </w:tc>
        <w:tc>
          <w:tcPr>
            <w:tcW w:w="562" w:type="pct"/>
          </w:tcPr>
          <w:p w:rsidR="0027621A" w:rsidRPr="006D04A5" w:rsidRDefault="0027621A" w:rsidP="006D04A5">
            <w:pPr>
              <w:jc w:val="right"/>
              <w:rPr>
                <w:sz w:val="18"/>
                <w:szCs w:val="18"/>
              </w:rPr>
            </w:pPr>
            <w:r w:rsidRPr="006D04A5">
              <w:rPr>
                <w:sz w:val="18"/>
                <w:szCs w:val="18"/>
              </w:rPr>
              <w:t>0.0944</w:t>
            </w:r>
          </w:p>
        </w:tc>
        <w:tc>
          <w:tcPr>
            <w:tcW w:w="562" w:type="pct"/>
          </w:tcPr>
          <w:p w:rsidR="0027621A" w:rsidRPr="006D04A5" w:rsidRDefault="0027621A" w:rsidP="006D04A5">
            <w:pPr>
              <w:jc w:val="right"/>
              <w:rPr>
                <w:sz w:val="18"/>
                <w:szCs w:val="18"/>
              </w:rPr>
            </w:pPr>
            <w:r w:rsidRPr="006D04A5">
              <w:rPr>
                <w:sz w:val="18"/>
                <w:szCs w:val="18"/>
              </w:rPr>
              <w:t>0.0489</w:t>
            </w:r>
          </w:p>
        </w:tc>
        <w:tc>
          <w:tcPr>
            <w:tcW w:w="557" w:type="pct"/>
          </w:tcPr>
          <w:p w:rsidR="0027621A" w:rsidRPr="006D04A5" w:rsidRDefault="0027621A" w:rsidP="006D04A5">
            <w:pPr>
              <w:jc w:val="right"/>
              <w:rPr>
                <w:sz w:val="18"/>
                <w:szCs w:val="18"/>
              </w:rPr>
            </w:pPr>
            <w:r w:rsidRPr="006D04A5">
              <w:rPr>
                <w:sz w:val="18"/>
                <w:szCs w:val="18"/>
              </w:rPr>
              <w:t>-0.0660</w:t>
            </w:r>
          </w:p>
        </w:tc>
      </w:tr>
      <w:tr w:rsidR="0027621A" w:rsidRPr="006D04A5" w:rsidTr="006D04A5">
        <w:trPr>
          <w:jc w:val="center"/>
        </w:trPr>
        <w:tc>
          <w:tcPr>
            <w:tcW w:w="1109" w:type="pct"/>
          </w:tcPr>
          <w:p w:rsidR="0027621A" w:rsidRPr="006D04A5" w:rsidRDefault="0027621A" w:rsidP="006D04A5">
            <w:pPr>
              <w:jc w:val="both"/>
              <w:rPr>
                <w:sz w:val="18"/>
                <w:szCs w:val="18"/>
              </w:rPr>
            </w:pPr>
            <w:r w:rsidRPr="006D04A5">
              <w:rPr>
                <w:sz w:val="18"/>
                <w:szCs w:val="18"/>
              </w:rPr>
              <w:t>Standard deviation</w:t>
            </w:r>
          </w:p>
        </w:tc>
        <w:tc>
          <w:tcPr>
            <w:tcW w:w="522" w:type="pct"/>
          </w:tcPr>
          <w:p w:rsidR="0027621A" w:rsidRPr="006D04A5" w:rsidRDefault="0027621A" w:rsidP="006D04A5">
            <w:pPr>
              <w:jc w:val="right"/>
              <w:rPr>
                <w:sz w:val="18"/>
                <w:szCs w:val="18"/>
              </w:rPr>
            </w:pPr>
            <w:r w:rsidRPr="006D04A5">
              <w:rPr>
                <w:sz w:val="18"/>
                <w:szCs w:val="18"/>
              </w:rPr>
              <w:t>0.8273</w:t>
            </w:r>
          </w:p>
        </w:tc>
        <w:tc>
          <w:tcPr>
            <w:tcW w:w="562" w:type="pct"/>
          </w:tcPr>
          <w:p w:rsidR="0027621A" w:rsidRPr="006D04A5" w:rsidRDefault="0027621A" w:rsidP="006D04A5">
            <w:pPr>
              <w:jc w:val="right"/>
              <w:rPr>
                <w:sz w:val="18"/>
                <w:szCs w:val="18"/>
              </w:rPr>
            </w:pPr>
            <w:r w:rsidRPr="006D04A5">
              <w:rPr>
                <w:sz w:val="18"/>
                <w:szCs w:val="18"/>
              </w:rPr>
              <w:t>0.6105</w:t>
            </w:r>
          </w:p>
        </w:tc>
        <w:tc>
          <w:tcPr>
            <w:tcW w:w="562" w:type="pct"/>
          </w:tcPr>
          <w:p w:rsidR="0027621A" w:rsidRPr="006D04A5" w:rsidRDefault="0027621A" w:rsidP="006D04A5">
            <w:pPr>
              <w:jc w:val="right"/>
              <w:rPr>
                <w:sz w:val="18"/>
                <w:szCs w:val="18"/>
              </w:rPr>
            </w:pPr>
            <w:r w:rsidRPr="006D04A5">
              <w:rPr>
                <w:sz w:val="18"/>
                <w:szCs w:val="18"/>
              </w:rPr>
              <w:t>0.5220</w:t>
            </w:r>
          </w:p>
        </w:tc>
        <w:tc>
          <w:tcPr>
            <w:tcW w:w="562" w:type="pct"/>
          </w:tcPr>
          <w:p w:rsidR="0027621A" w:rsidRPr="006D04A5" w:rsidRDefault="0027621A" w:rsidP="006D04A5">
            <w:pPr>
              <w:jc w:val="right"/>
              <w:rPr>
                <w:sz w:val="18"/>
                <w:szCs w:val="18"/>
              </w:rPr>
            </w:pPr>
            <w:r w:rsidRPr="006D04A5">
              <w:rPr>
                <w:sz w:val="18"/>
                <w:szCs w:val="18"/>
              </w:rPr>
              <w:t>0.8051</w:t>
            </w:r>
          </w:p>
        </w:tc>
        <w:tc>
          <w:tcPr>
            <w:tcW w:w="562" w:type="pct"/>
          </w:tcPr>
          <w:p w:rsidR="0027621A" w:rsidRPr="006D04A5" w:rsidRDefault="0027621A" w:rsidP="006D04A5">
            <w:pPr>
              <w:jc w:val="right"/>
              <w:rPr>
                <w:sz w:val="18"/>
                <w:szCs w:val="18"/>
              </w:rPr>
            </w:pPr>
            <w:r w:rsidRPr="006D04A5">
              <w:rPr>
                <w:sz w:val="18"/>
                <w:szCs w:val="18"/>
              </w:rPr>
              <w:t>0.9441</w:t>
            </w:r>
          </w:p>
        </w:tc>
        <w:tc>
          <w:tcPr>
            <w:tcW w:w="562" w:type="pct"/>
          </w:tcPr>
          <w:p w:rsidR="0027621A" w:rsidRPr="006D04A5" w:rsidRDefault="0027621A" w:rsidP="006D04A5">
            <w:pPr>
              <w:jc w:val="right"/>
              <w:rPr>
                <w:sz w:val="18"/>
                <w:szCs w:val="18"/>
              </w:rPr>
            </w:pPr>
            <w:r w:rsidRPr="006D04A5">
              <w:rPr>
                <w:sz w:val="18"/>
                <w:szCs w:val="18"/>
              </w:rPr>
              <w:t>0.8880</w:t>
            </w:r>
          </w:p>
        </w:tc>
        <w:tc>
          <w:tcPr>
            <w:tcW w:w="557" w:type="pct"/>
          </w:tcPr>
          <w:p w:rsidR="0027621A" w:rsidRPr="006D04A5" w:rsidRDefault="0027621A" w:rsidP="006D04A5">
            <w:pPr>
              <w:jc w:val="right"/>
              <w:rPr>
                <w:sz w:val="18"/>
                <w:szCs w:val="18"/>
              </w:rPr>
            </w:pPr>
            <w:r w:rsidRPr="006D04A5">
              <w:rPr>
                <w:sz w:val="18"/>
                <w:szCs w:val="18"/>
              </w:rPr>
              <w:t>1.0983</w:t>
            </w:r>
          </w:p>
        </w:tc>
      </w:tr>
      <w:tr w:rsidR="0027621A" w:rsidRPr="006D04A5" w:rsidTr="006D04A5">
        <w:trPr>
          <w:jc w:val="center"/>
        </w:trPr>
        <w:tc>
          <w:tcPr>
            <w:tcW w:w="1109" w:type="pct"/>
          </w:tcPr>
          <w:p w:rsidR="0027621A" w:rsidRPr="006D04A5" w:rsidRDefault="0027621A" w:rsidP="006D04A5">
            <w:pPr>
              <w:jc w:val="both"/>
              <w:rPr>
                <w:sz w:val="18"/>
                <w:szCs w:val="18"/>
              </w:rPr>
            </w:pPr>
            <w:r w:rsidRPr="006D04A5">
              <w:rPr>
                <w:sz w:val="18"/>
                <w:szCs w:val="18"/>
              </w:rPr>
              <w:t>Observations</w:t>
            </w:r>
          </w:p>
        </w:tc>
        <w:tc>
          <w:tcPr>
            <w:tcW w:w="522" w:type="pct"/>
          </w:tcPr>
          <w:p w:rsidR="0027621A" w:rsidRPr="006D04A5" w:rsidRDefault="0027621A" w:rsidP="006D04A5">
            <w:pPr>
              <w:jc w:val="right"/>
              <w:rPr>
                <w:sz w:val="18"/>
                <w:szCs w:val="18"/>
              </w:rPr>
            </w:pPr>
            <w:r w:rsidRPr="006D04A5">
              <w:rPr>
                <w:sz w:val="18"/>
                <w:szCs w:val="18"/>
              </w:rPr>
              <w:t>2817</w:t>
            </w:r>
          </w:p>
        </w:tc>
        <w:tc>
          <w:tcPr>
            <w:tcW w:w="562" w:type="pct"/>
          </w:tcPr>
          <w:p w:rsidR="0027621A" w:rsidRPr="006D04A5" w:rsidRDefault="0027621A" w:rsidP="006D04A5">
            <w:pPr>
              <w:jc w:val="right"/>
              <w:rPr>
                <w:sz w:val="18"/>
                <w:szCs w:val="18"/>
              </w:rPr>
            </w:pPr>
            <w:r w:rsidRPr="006D04A5">
              <w:rPr>
                <w:sz w:val="18"/>
                <w:szCs w:val="18"/>
              </w:rPr>
              <w:t>479</w:t>
            </w:r>
          </w:p>
        </w:tc>
        <w:tc>
          <w:tcPr>
            <w:tcW w:w="562" w:type="pct"/>
          </w:tcPr>
          <w:p w:rsidR="0027621A" w:rsidRPr="006D04A5" w:rsidRDefault="0027621A" w:rsidP="006D04A5">
            <w:pPr>
              <w:jc w:val="right"/>
              <w:rPr>
                <w:sz w:val="18"/>
                <w:szCs w:val="18"/>
              </w:rPr>
            </w:pPr>
            <w:r w:rsidRPr="006D04A5">
              <w:rPr>
                <w:sz w:val="18"/>
                <w:szCs w:val="18"/>
              </w:rPr>
              <w:t>484</w:t>
            </w:r>
          </w:p>
        </w:tc>
        <w:tc>
          <w:tcPr>
            <w:tcW w:w="562" w:type="pct"/>
          </w:tcPr>
          <w:p w:rsidR="0027621A" w:rsidRPr="006D04A5" w:rsidRDefault="0027621A" w:rsidP="006D04A5">
            <w:pPr>
              <w:jc w:val="right"/>
              <w:rPr>
                <w:sz w:val="18"/>
                <w:szCs w:val="18"/>
              </w:rPr>
            </w:pPr>
            <w:r w:rsidRPr="006D04A5">
              <w:rPr>
                <w:sz w:val="18"/>
                <w:szCs w:val="18"/>
              </w:rPr>
              <w:t>490</w:t>
            </w:r>
          </w:p>
        </w:tc>
        <w:tc>
          <w:tcPr>
            <w:tcW w:w="562" w:type="pct"/>
          </w:tcPr>
          <w:p w:rsidR="0027621A" w:rsidRPr="006D04A5" w:rsidRDefault="0027621A" w:rsidP="006D04A5">
            <w:pPr>
              <w:jc w:val="right"/>
              <w:rPr>
                <w:sz w:val="18"/>
                <w:szCs w:val="18"/>
              </w:rPr>
            </w:pPr>
            <w:r w:rsidRPr="006D04A5">
              <w:rPr>
                <w:sz w:val="18"/>
                <w:szCs w:val="18"/>
              </w:rPr>
              <w:t>484</w:t>
            </w:r>
          </w:p>
        </w:tc>
        <w:tc>
          <w:tcPr>
            <w:tcW w:w="562" w:type="pct"/>
          </w:tcPr>
          <w:p w:rsidR="0027621A" w:rsidRPr="006D04A5" w:rsidRDefault="0027621A" w:rsidP="006D04A5">
            <w:pPr>
              <w:jc w:val="right"/>
              <w:rPr>
                <w:sz w:val="18"/>
                <w:szCs w:val="18"/>
              </w:rPr>
            </w:pPr>
            <w:r w:rsidRPr="006D04A5">
              <w:rPr>
                <w:sz w:val="18"/>
                <w:szCs w:val="18"/>
              </w:rPr>
              <w:t>487</w:t>
            </w:r>
          </w:p>
        </w:tc>
        <w:tc>
          <w:tcPr>
            <w:tcW w:w="557" w:type="pct"/>
          </w:tcPr>
          <w:p w:rsidR="0027621A" w:rsidRPr="006D04A5" w:rsidRDefault="0027621A" w:rsidP="006D04A5">
            <w:pPr>
              <w:jc w:val="right"/>
              <w:rPr>
                <w:sz w:val="18"/>
                <w:szCs w:val="18"/>
              </w:rPr>
            </w:pPr>
            <w:r w:rsidRPr="006D04A5">
              <w:rPr>
                <w:sz w:val="18"/>
                <w:szCs w:val="18"/>
              </w:rPr>
              <w:t>393</w:t>
            </w:r>
          </w:p>
        </w:tc>
      </w:tr>
      <w:tr w:rsidR="0027621A" w:rsidRPr="006D04A5" w:rsidTr="006D04A5">
        <w:trPr>
          <w:jc w:val="center"/>
        </w:trPr>
        <w:tc>
          <w:tcPr>
            <w:tcW w:w="1109" w:type="pct"/>
          </w:tcPr>
          <w:p w:rsidR="0027621A" w:rsidRPr="006D04A5" w:rsidRDefault="0027621A" w:rsidP="006D04A5">
            <w:pPr>
              <w:jc w:val="both"/>
              <w:rPr>
                <w:sz w:val="18"/>
                <w:szCs w:val="18"/>
              </w:rPr>
            </w:pPr>
            <w:r w:rsidRPr="006D04A5">
              <w:rPr>
                <w:sz w:val="18"/>
                <w:szCs w:val="18"/>
              </w:rPr>
              <w:t>T-Statistic</w:t>
            </w:r>
          </w:p>
        </w:tc>
        <w:tc>
          <w:tcPr>
            <w:tcW w:w="522" w:type="pct"/>
          </w:tcPr>
          <w:p w:rsidR="0027621A" w:rsidRPr="006D04A5" w:rsidRDefault="0027621A" w:rsidP="006D04A5">
            <w:pPr>
              <w:jc w:val="right"/>
              <w:rPr>
                <w:sz w:val="18"/>
                <w:szCs w:val="18"/>
              </w:rPr>
            </w:pPr>
            <w:r w:rsidRPr="006D04A5">
              <w:rPr>
                <w:sz w:val="18"/>
                <w:szCs w:val="18"/>
              </w:rPr>
              <w:t>-0.01</w:t>
            </w:r>
          </w:p>
        </w:tc>
        <w:tc>
          <w:tcPr>
            <w:tcW w:w="562" w:type="pct"/>
          </w:tcPr>
          <w:p w:rsidR="0027621A" w:rsidRPr="006D04A5" w:rsidRDefault="0027621A" w:rsidP="006D04A5">
            <w:pPr>
              <w:jc w:val="right"/>
              <w:rPr>
                <w:sz w:val="18"/>
                <w:szCs w:val="18"/>
              </w:rPr>
            </w:pPr>
            <w:r w:rsidRPr="006D04A5">
              <w:rPr>
                <w:sz w:val="18"/>
                <w:szCs w:val="18"/>
              </w:rPr>
              <w:t>0.54</w:t>
            </w:r>
          </w:p>
        </w:tc>
        <w:tc>
          <w:tcPr>
            <w:tcW w:w="562" w:type="pct"/>
          </w:tcPr>
          <w:p w:rsidR="0027621A" w:rsidRPr="006D04A5" w:rsidRDefault="0027621A" w:rsidP="006D04A5">
            <w:pPr>
              <w:jc w:val="right"/>
              <w:rPr>
                <w:sz w:val="18"/>
                <w:szCs w:val="18"/>
              </w:rPr>
            </w:pPr>
            <w:r w:rsidRPr="006D04A5">
              <w:rPr>
                <w:sz w:val="18"/>
                <w:szCs w:val="18"/>
              </w:rPr>
              <w:t>0.62</w:t>
            </w:r>
          </w:p>
        </w:tc>
        <w:tc>
          <w:tcPr>
            <w:tcW w:w="562" w:type="pct"/>
          </w:tcPr>
          <w:p w:rsidR="0027621A" w:rsidRPr="006D04A5" w:rsidRDefault="0027621A" w:rsidP="006D04A5">
            <w:pPr>
              <w:jc w:val="right"/>
              <w:rPr>
                <w:sz w:val="18"/>
                <w:szCs w:val="18"/>
              </w:rPr>
            </w:pPr>
            <w:r w:rsidRPr="006D04A5">
              <w:rPr>
                <w:sz w:val="18"/>
                <w:szCs w:val="18"/>
              </w:rPr>
              <w:t>-2.80</w:t>
            </w:r>
            <w:r w:rsidRPr="006D04A5">
              <w:rPr>
                <w:sz w:val="18"/>
                <w:szCs w:val="18"/>
                <w:vertAlign w:val="superscript"/>
              </w:rPr>
              <w:t>a</w:t>
            </w:r>
          </w:p>
        </w:tc>
        <w:tc>
          <w:tcPr>
            <w:tcW w:w="562" w:type="pct"/>
          </w:tcPr>
          <w:p w:rsidR="0027621A" w:rsidRPr="006D04A5" w:rsidRDefault="0027621A" w:rsidP="006D04A5">
            <w:pPr>
              <w:jc w:val="right"/>
              <w:rPr>
                <w:sz w:val="18"/>
                <w:szCs w:val="18"/>
              </w:rPr>
            </w:pPr>
            <w:r w:rsidRPr="006D04A5">
              <w:rPr>
                <w:sz w:val="18"/>
                <w:szCs w:val="18"/>
              </w:rPr>
              <w:t>-0.81</w:t>
            </w:r>
          </w:p>
        </w:tc>
        <w:tc>
          <w:tcPr>
            <w:tcW w:w="562" w:type="pct"/>
          </w:tcPr>
          <w:p w:rsidR="0027621A" w:rsidRPr="006D04A5" w:rsidRDefault="0027621A" w:rsidP="006D04A5">
            <w:pPr>
              <w:jc w:val="right"/>
              <w:rPr>
                <w:sz w:val="18"/>
                <w:szCs w:val="18"/>
              </w:rPr>
            </w:pPr>
            <w:r w:rsidRPr="006D04A5">
              <w:rPr>
                <w:sz w:val="18"/>
                <w:szCs w:val="18"/>
              </w:rPr>
              <w:t>1.76</w:t>
            </w:r>
            <w:r w:rsidRPr="006D04A5">
              <w:rPr>
                <w:sz w:val="18"/>
                <w:szCs w:val="18"/>
                <w:vertAlign w:val="superscript"/>
              </w:rPr>
              <w:t>c</w:t>
            </w:r>
          </w:p>
        </w:tc>
        <w:tc>
          <w:tcPr>
            <w:tcW w:w="557" w:type="pct"/>
          </w:tcPr>
          <w:p w:rsidR="0027621A" w:rsidRPr="006D04A5" w:rsidRDefault="0027621A" w:rsidP="006D04A5">
            <w:pPr>
              <w:jc w:val="right"/>
              <w:rPr>
                <w:sz w:val="18"/>
                <w:szCs w:val="18"/>
              </w:rPr>
            </w:pPr>
            <w:r w:rsidRPr="006D04A5">
              <w:rPr>
                <w:sz w:val="18"/>
                <w:szCs w:val="18"/>
              </w:rPr>
              <w:t>0.74</w:t>
            </w:r>
          </w:p>
        </w:tc>
      </w:tr>
      <w:tr w:rsidR="0027621A" w:rsidRPr="006D04A5" w:rsidTr="006D04A5">
        <w:trPr>
          <w:jc w:val="center"/>
        </w:trPr>
        <w:tc>
          <w:tcPr>
            <w:tcW w:w="1109" w:type="pct"/>
          </w:tcPr>
          <w:p w:rsidR="0027621A" w:rsidRPr="006D04A5" w:rsidRDefault="0027621A" w:rsidP="006D04A5">
            <w:pPr>
              <w:jc w:val="center"/>
              <w:rPr>
                <w:sz w:val="18"/>
                <w:szCs w:val="18"/>
              </w:rPr>
            </w:pPr>
            <w:r w:rsidRPr="006D04A5">
              <w:rPr>
                <w:sz w:val="18"/>
                <w:szCs w:val="18"/>
              </w:rPr>
              <w:t>significance</w:t>
            </w:r>
          </w:p>
        </w:tc>
        <w:tc>
          <w:tcPr>
            <w:tcW w:w="522" w:type="pct"/>
          </w:tcPr>
          <w:p w:rsidR="0027621A" w:rsidRPr="006D04A5" w:rsidRDefault="0027621A" w:rsidP="006D04A5">
            <w:pPr>
              <w:jc w:val="right"/>
              <w:rPr>
                <w:sz w:val="18"/>
                <w:szCs w:val="18"/>
              </w:rPr>
            </w:pPr>
            <w:r w:rsidRPr="006D04A5">
              <w:rPr>
                <w:sz w:val="18"/>
                <w:szCs w:val="18"/>
              </w:rPr>
              <w:t>(0.993)</w:t>
            </w:r>
          </w:p>
        </w:tc>
        <w:tc>
          <w:tcPr>
            <w:tcW w:w="562" w:type="pct"/>
          </w:tcPr>
          <w:p w:rsidR="0027621A" w:rsidRPr="006D04A5" w:rsidRDefault="0027621A" w:rsidP="006D04A5">
            <w:pPr>
              <w:jc w:val="right"/>
              <w:rPr>
                <w:sz w:val="18"/>
                <w:szCs w:val="18"/>
              </w:rPr>
            </w:pPr>
            <w:r w:rsidRPr="006D04A5">
              <w:rPr>
                <w:sz w:val="18"/>
                <w:szCs w:val="18"/>
              </w:rPr>
              <w:t>(0.589)</w:t>
            </w:r>
          </w:p>
        </w:tc>
        <w:tc>
          <w:tcPr>
            <w:tcW w:w="562" w:type="pct"/>
          </w:tcPr>
          <w:p w:rsidR="0027621A" w:rsidRPr="006D04A5" w:rsidRDefault="0027621A" w:rsidP="006D04A5">
            <w:pPr>
              <w:jc w:val="right"/>
              <w:rPr>
                <w:sz w:val="18"/>
                <w:szCs w:val="18"/>
              </w:rPr>
            </w:pPr>
            <w:r w:rsidRPr="006D04A5">
              <w:rPr>
                <w:sz w:val="18"/>
                <w:szCs w:val="18"/>
              </w:rPr>
              <w:t>(0.537)</w:t>
            </w:r>
          </w:p>
        </w:tc>
        <w:tc>
          <w:tcPr>
            <w:tcW w:w="562" w:type="pct"/>
          </w:tcPr>
          <w:p w:rsidR="0027621A" w:rsidRPr="006D04A5" w:rsidRDefault="0027621A" w:rsidP="006D04A5">
            <w:pPr>
              <w:jc w:val="right"/>
              <w:rPr>
                <w:sz w:val="18"/>
                <w:szCs w:val="18"/>
              </w:rPr>
            </w:pPr>
            <w:r w:rsidRPr="006D04A5">
              <w:rPr>
                <w:sz w:val="18"/>
                <w:szCs w:val="18"/>
              </w:rPr>
              <w:t>(0.005)</w:t>
            </w:r>
          </w:p>
        </w:tc>
        <w:tc>
          <w:tcPr>
            <w:tcW w:w="562" w:type="pct"/>
          </w:tcPr>
          <w:p w:rsidR="0027621A" w:rsidRPr="006D04A5" w:rsidRDefault="0027621A" w:rsidP="006D04A5">
            <w:pPr>
              <w:jc w:val="right"/>
              <w:rPr>
                <w:sz w:val="18"/>
                <w:szCs w:val="18"/>
              </w:rPr>
            </w:pPr>
            <w:r w:rsidRPr="006D04A5">
              <w:rPr>
                <w:sz w:val="18"/>
                <w:szCs w:val="18"/>
              </w:rPr>
              <w:t>(0.419)</w:t>
            </w:r>
          </w:p>
        </w:tc>
        <w:tc>
          <w:tcPr>
            <w:tcW w:w="562" w:type="pct"/>
          </w:tcPr>
          <w:p w:rsidR="0027621A" w:rsidRPr="006D04A5" w:rsidRDefault="0027621A" w:rsidP="006D04A5">
            <w:pPr>
              <w:jc w:val="right"/>
              <w:rPr>
                <w:sz w:val="18"/>
                <w:szCs w:val="18"/>
              </w:rPr>
            </w:pPr>
            <w:r w:rsidRPr="006D04A5">
              <w:rPr>
                <w:sz w:val="18"/>
                <w:szCs w:val="18"/>
              </w:rPr>
              <w:t>(0.079)</w:t>
            </w:r>
          </w:p>
        </w:tc>
        <w:tc>
          <w:tcPr>
            <w:tcW w:w="557" w:type="pct"/>
          </w:tcPr>
          <w:p w:rsidR="0027621A" w:rsidRPr="006D04A5" w:rsidRDefault="0027621A" w:rsidP="006D04A5">
            <w:pPr>
              <w:jc w:val="right"/>
              <w:rPr>
                <w:sz w:val="18"/>
                <w:szCs w:val="18"/>
              </w:rPr>
            </w:pPr>
            <w:r w:rsidRPr="006D04A5">
              <w:rPr>
                <w:sz w:val="18"/>
                <w:szCs w:val="18"/>
              </w:rPr>
              <w:t>(0.458)</w:t>
            </w:r>
          </w:p>
        </w:tc>
      </w:tr>
      <w:tr w:rsidR="0027621A" w:rsidRPr="006D04A5" w:rsidTr="006D04A5">
        <w:trPr>
          <w:jc w:val="center"/>
        </w:trPr>
        <w:tc>
          <w:tcPr>
            <w:tcW w:w="1109" w:type="pct"/>
          </w:tcPr>
          <w:p w:rsidR="0027621A" w:rsidRPr="006D04A5" w:rsidRDefault="0027621A" w:rsidP="006D04A5">
            <w:pPr>
              <w:jc w:val="both"/>
              <w:rPr>
                <w:sz w:val="18"/>
                <w:szCs w:val="18"/>
              </w:rPr>
            </w:pPr>
            <w:r w:rsidRPr="006D04A5">
              <w:rPr>
                <w:sz w:val="18"/>
                <w:szCs w:val="18"/>
              </w:rPr>
              <w:t>Mann-Whitney</w:t>
            </w:r>
          </w:p>
        </w:tc>
        <w:tc>
          <w:tcPr>
            <w:tcW w:w="522" w:type="pct"/>
          </w:tcPr>
          <w:p w:rsidR="0027621A" w:rsidRPr="006D04A5" w:rsidRDefault="0027621A" w:rsidP="006D04A5">
            <w:pPr>
              <w:jc w:val="right"/>
              <w:rPr>
                <w:sz w:val="18"/>
                <w:szCs w:val="18"/>
              </w:rPr>
            </w:pPr>
            <w:r w:rsidRPr="006D04A5">
              <w:rPr>
                <w:sz w:val="18"/>
                <w:szCs w:val="18"/>
              </w:rPr>
              <w:t>-0.25</w:t>
            </w:r>
          </w:p>
        </w:tc>
        <w:tc>
          <w:tcPr>
            <w:tcW w:w="562" w:type="pct"/>
          </w:tcPr>
          <w:p w:rsidR="0027621A" w:rsidRPr="006D04A5" w:rsidRDefault="0027621A" w:rsidP="006D04A5">
            <w:pPr>
              <w:jc w:val="right"/>
              <w:rPr>
                <w:sz w:val="18"/>
                <w:szCs w:val="18"/>
              </w:rPr>
            </w:pPr>
            <w:r w:rsidRPr="006D04A5">
              <w:rPr>
                <w:sz w:val="18"/>
                <w:szCs w:val="18"/>
              </w:rPr>
              <w:t>-0.65</w:t>
            </w:r>
          </w:p>
        </w:tc>
        <w:tc>
          <w:tcPr>
            <w:tcW w:w="562" w:type="pct"/>
          </w:tcPr>
          <w:p w:rsidR="0027621A" w:rsidRPr="006D04A5" w:rsidRDefault="0027621A" w:rsidP="006D04A5">
            <w:pPr>
              <w:jc w:val="right"/>
              <w:rPr>
                <w:sz w:val="18"/>
                <w:szCs w:val="18"/>
              </w:rPr>
            </w:pPr>
            <w:r w:rsidRPr="006D04A5">
              <w:rPr>
                <w:sz w:val="18"/>
                <w:szCs w:val="18"/>
              </w:rPr>
              <w:t>-0.83</w:t>
            </w:r>
          </w:p>
        </w:tc>
        <w:tc>
          <w:tcPr>
            <w:tcW w:w="562" w:type="pct"/>
          </w:tcPr>
          <w:p w:rsidR="0027621A" w:rsidRPr="006D04A5" w:rsidRDefault="0027621A" w:rsidP="006D04A5">
            <w:pPr>
              <w:jc w:val="right"/>
              <w:rPr>
                <w:sz w:val="18"/>
                <w:szCs w:val="18"/>
              </w:rPr>
            </w:pPr>
            <w:r w:rsidRPr="006D04A5">
              <w:rPr>
                <w:sz w:val="18"/>
                <w:szCs w:val="18"/>
              </w:rPr>
              <w:t>-2.98</w:t>
            </w:r>
            <w:r w:rsidRPr="006D04A5">
              <w:rPr>
                <w:sz w:val="18"/>
                <w:szCs w:val="18"/>
                <w:vertAlign w:val="superscript"/>
              </w:rPr>
              <w:t>a</w:t>
            </w:r>
          </w:p>
        </w:tc>
        <w:tc>
          <w:tcPr>
            <w:tcW w:w="562" w:type="pct"/>
          </w:tcPr>
          <w:p w:rsidR="0027621A" w:rsidRPr="006D04A5" w:rsidRDefault="0027621A" w:rsidP="006D04A5">
            <w:pPr>
              <w:jc w:val="right"/>
              <w:rPr>
                <w:sz w:val="18"/>
                <w:szCs w:val="18"/>
              </w:rPr>
            </w:pPr>
            <w:r w:rsidRPr="006D04A5">
              <w:rPr>
                <w:sz w:val="18"/>
                <w:szCs w:val="18"/>
              </w:rPr>
              <w:t>-0.11</w:t>
            </w:r>
          </w:p>
        </w:tc>
        <w:tc>
          <w:tcPr>
            <w:tcW w:w="562" w:type="pct"/>
          </w:tcPr>
          <w:p w:rsidR="0027621A" w:rsidRPr="006D04A5" w:rsidRDefault="0027621A" w:rsidP="006D04A5">
            <w:pPr>
              <w:jc w:val="right"/>
              <w:rPr>
                <w:sz w:val="18"/>
                <w:szCs w:val="18"/>
              </w:rPr>
            </w:pPr>
            <w:r w:rsidRPr="006D04A5">
              <w:rPr>
                <w:sz w:val="18"/>
                <w:szCs w:val="18"/>
              </w:rPr>
              <w:t>-1.81</w:t>
            </w:r>
            <w:r w:rsidRPr="006D04A5">
              <w:rPr>
                <w:sz w:val="18"/>
                <w:szCs w:val="18"/>
                <w:vertAlign w:val="superscript"/>
              </w:rPr>
              <w:t>c</w:t>
            </w:r>
          </w:p>
        </w:tc>
        <w:tc>
          <w:tcPr>
            <w:tcW w:w="557" w:type="pct"/>
          </w:tcPr>
          <w:p w:rsidR="0027621A" w:rsidRPr="006D04A5" w:rsidRDefault="0027621A" w:rsidP="006D04A5">
            <w:pPr>
              <w:jc w:val="right"/>
              <w:rPr>
                <w:sz w:val="18"/>
                <w:szCs w:val="18"/>
              </w:rPr>
            </w:pPr>
            <w:r w:rsidRPr="006D04A5">
              <w:rPr>
                <w:sz w:val="18"/>
                <w:szCs w:val="18"/>
              </w:rPr>
              <w:t>-0.43</w:t>
            </w:r>
          </w:p>
        </w:tc>
      </w:tr>
      <w:tr w:rsidR="0027621A" w:rsidRPr="006D04A5" w:rsidTr="006D04A5">
        <w:trPr>
          <w:jc w:val="center"/>
        </w:trPr>
        <w:tc>
          <w:tcPr>
            <w:tcW w:w="1109" w:type="pct"/>
            <w:tcBorders>
              <w:bottom w:val="single" w:sz="4" w:space="0" w:color="auto"/>
            </w:tcBorders>
          </w:tcPr>
          <w:p w:rsidR="0027621A" w:rsidRPr="006D04A5" w:rsidRDefault="0027621A" w:rsidP="006D04A5">
            <w:pPr>
              <w:jc w:val="center"/>
              <w:rPr>
                <w:sz w:val="18"/>
                <w:szCs w:val="18"/>
              </w:rPr>
            </w:pPr>
            <w:r w:rsidRPr="006D04A5">
              <w:rPr>
                <w:sz w:val="18"/>
                <w:szCs w:val="18"/>
              </w:rPr>
              <w:t>significance</w:t>
            </w:r>
          </w:p>
        </w:tc>
        <w:tc>
          <w:tcPr>
            <w:tcW w:w="522" w:type="pct"/>
            <w:tcBorders>
              <w:bottom w:val="single" w:sz="4" w:space="0" w:color="auto"/>
            </w:tcBorders>
          </w:tcPr>
          <w:p w:rsidR="0027621A" w:rsidRPr="006D04A5" w:rsidRDefault="0027621A" w:rsidP="006D04A5">
            <w:pPr>
              <w:jc w:val="right"/>
              <w:rPr>
                <w:sz w:val="18"/>
                <w:szCs w:val="18"/>
              </w:rPr>
            </w:pPr>
            <w:r w:rsidRPr="006D04A5">
              <w:rPr>
                <w:sz w:val="18"/>
                <w:szCs w:val="18"/>
              </w:rPr>
              <w:t>(0.799)</w:t>
            </w:r>
          </w:p>
        </w:tc>
        <w:tc>
          <w:tcPr>
            <w:tcW w:w="562" w:type="pct"/>
            <w:tcBorders>
              <w:bottom w:val="single" w:sz="4" w:space="0" w:color="auto"/>
            </w:tcBorders>
          </w:tcPr>
          <w:p w:rsidR="0027621A" w:rsidRPr="006D04A5" w:rsidRDefault="0027621A" w:rsidP="006D04A5">
            <w:pPr>
              <w:jc w:val="right"/>
              <w:rPr>
                <w:sz w:val="18"/>
                <w:szCs w:val="18"/>
              </w:rPr>
            </w:pPr>
            <w:r w:rsidRPr="006D04A5">
              <w:rPr>
                <w:sz w:val="18"/>
                <w:szCs w:val="18"/>
              </w:rPr>
              <w:t>(0.516)</w:t>
            </w:r>
          </w:p>
        </w:tc>
        <w:tc>
          <w:tcPr>
            <w:tcW w:w="562" w:type="pct"/>
            <w:tcBorders>
              <w:bottom w:val="single" w:sz="4" w:space="0" w:color="auto"/>
            </w:tcBorders>
          </w:tcPr>
          <w:p w:rsidR="0027621A" w:rsidRPr="006D04A5" w:rsidRDefault="0027621A" w:rsidP="006D04A5">
            <w:pPr>
              <w:jc w:val="right"/>
              <w:rPr>
                <w:sz w:val="18"/>
                <w:szCs w:val="18"/>
              </w:rPr>
            </w:pPr>
            <w:r w:rsidRPr="006D04A5">
              <w:rPr>
                <w:sz w:val="18"/>
                <w:szCs w:val="18"/>
              </w:rPr>
              <w:t>(0.406)</w:t>
            </w:r>
          </w:p>
        </w:tc>
        <w:tc>
          <w:tcPr>
            <w:tcW w:w="562" w:type="pct"/>
            <w:tcBorders>
              <w:bottom w:val="single" w:sz="4" w:space="0" w:color="auto"/>
            </w:tcBorders>
          </w:tcPr>
          <w:p w:rsidR="0027621A" w:rsidRPr="006D04A5" w:rsidRDefault="0027621A" w:rsidP="006D04A5">
            <w:pPr>
              <w:jc w:val="right"/>
              <w:rPr>
                <w:sz w:val="18"/>
                <w:szCs w:val="18"/>
              </w:rPr>
            </w:pPr>
            <w:r w:rsidRPr="006D04A5">
              <w:rPr>
                <w:sz w:val="18"/>
                <w:szCs w:val="18"/>
              </w:rPr>
              <w:t>(0.003)</w:t>
            </w:r>
          </w:p>
        </w:tc>
        <w:tc>
          <w:tcPr>
            <w:tcW w:w="562" w:type="pct"/>
            <w:tcBorders>
              <w:bottom w:val="single" w:sz="4" w:space="0" w:color="auto"/>
            </w:tcBorders>
          </w:tcPr>
          <w:p w:rsidR="0027621A" w:rsidRPr="006D04A5" w:rsidRDefault="0027621A" w:rsidP="006D04A5">
            <w:pPr>
              <w:jc w:val="right"/>
              <w:rPr>
                <w:sz w:val="18"/>
                <w:szCs w:val="18"/>
              </w:rPr>
            </w:pPr>
            <w:r w:rsidRPr="006D04A5">
              <w:rPr>
                <w:sz w:val="18"/>
                <w:szCs w:val="18"/>
              </w:rPr>
              <w:t>(0.914)</w:t>
            </w:r>
          </w:p>
        </w:tc>
        <w:tc>
          <w:tcPr>
            <w:tcW w:w="562" w:type="pct"/>
            <w:tcBorders>
              <w:bottom w:val="single" w:sz="4" w:space="0" w:color="auto"/>
            </w:tcBorders>
          </w:tcPr>
          <w:p w:rsidR="0027621A" w:rsidRPr="006D04A5" w:rsidRDefault="0027621A" w:rsidP="006D04A5">
            <w:pPr>
              <w:jc w:val="right"/>
              <w:rPr>
                <w:sz w:val="18"/>
                <w:szCs w:val="18"/>
              </w:rPr>
            </w:pPr>
            <w:r w:rsidRPr="006D04A5">
              <w:rPr>
                <w:sz w:val="18"/>
                <w:szCs w:val="18"/>
              </w:rPr>
              <w:t>(0.070)</w:t>
            </w:r>
          </w:p>
        </w:tc>
        <w:tc>
          <w:tcPr>
            <w:tcW w:w="557" w:type="pct"/>
            <w:tcBorders>
              <w:bottom w:val="single" w:sz="4" w:space="0" w:color="auto"/>
            </w:tcBorders>
          </w:tcPr>
          <w:p w:rsidR="0027621A" w:rsidRPr="006D04A5" w:rsidRDefault="0027621A" w:rsidP="006D04A5">
            <w:pPr>
              <w:jc w:val="right"/>
              <w:rPr>
                <w:sz w:val="18"/>
                <w:szCs w:val="18"/>
              </w:rPr>
            </w:pPr>
            <w:r w:rsidRPr="006D04A5">
              <w:rPr>
                <w:sz w:val="18"/>
                <w:szCs w:val="18"/>
              </w:rPr>
              <w:t>(0.670)</w:t>
            </w:r>
          </w:p>
        </w:tc>
      </w:tr>
      <w:tr w:rsidR="0027621A" w:rsidRPr="006D04A5" w:rsidTr="006D04A5">
        <w:trPr>
          <w:jc w:val="center"/>
        </w:trPr>
        <w:tc>
          <w:tcPr>
            <w:tcW w:w="5000" w:type="pct"/>
            <w:gridSpan w:val="8"/>
            <w:tcBorders>
              <w:top w:val="single" w:sz="4" w:space="0" w:color="auto"/>
              <w:bottom w:val="single" w:sz="4" w:space="0" w:color="auto"/>
            </w:tcBorders>
          </w:tcPr>
          <w:p w:rsidR="0027621A" w:rsidRPr="006D04A5" w:rsidRDefault="0027621A" w:rsidP="006D04A5">
            <w:pPr>
              <w:jc w:val="both"/>
              <w:rPr>
                <w:sz w:val="18"/>
                <w:szCs w:val="18"/>
              </w:rPr>
            </w:pPr>
            <w:r w:rsidRPr="006D04A5">
              <w:rPr>
                <w:sz w:val="18"/>
                <w:szCs w:val="18"/>
                <w:vertAlign w:val="superscript"/>
              </w:rPr>
              <w:t>a</w:t>
            </w:r>
            <w:r w:rsidRPr="006D04A5">
              <w:rPr>
                <w:sz w:val="18"/>
                <w:szCs w:val="18"/>
              </w:rPr>
              <w:t xml:space="preserve"> Significant at the 0.01 level; </w:t>
            </w:r>
            <w:r w:rsidRPr="006D04A5">
              <w:rPr>
                <w:sz w:val="18"/>
                <w:szCs w:val="18"/>
                <w:vertAlign w:val="superscript"/>
              </w:rPr>
              <w:t>c</w:t>
            </w:r>
            <w:r w:rsidRPr="006D04A5">
              <w:rPr>
                <w:sz w:val="18"/>
                <w:szCs w:val="18"/>
              </w:rPr>
              <w:t xml:space="preserve"> Significant at the 0.10 level.</w:t>
            </w:r>
          </w:p>
        </w:tc>
      </w:tr>
    </w:tbl>
    <w:p w:rsidR="0027621A" w:rsidRDefault="0027621A" w:rsidP="006D04A5">
      <w:pPr>
        <w:jc w:val="both"/>
        <w:rPr>
          <w:sz w:val="18"/>
          <w:szCs w:val="18"/>
        </w:rPr>
      </w:pPr>
    </w:p>
    <w:p w:rsidR="006D04A5" w:rsidRPr="006D04A5" w:rsidRDefault="006D04A5" w:rsidP="006D04A5">
      <w:pPr>
        <w:jc w:val="both"/>
        <w:rPr>
          <w:sz w:val="18"/>
          <w:szCs w:val="18"/>
        </w:rPr>
      </w:pPr>
    </w:p>
    <w:p w:rsidR="00A9717F" w:rsidRPr="006D04A5" w:rsidRDefault="003918D9" w:rsidP="006D04A5">
      <w:pPr>
        <w:ind w:firstLine="720"/>
        <w:jc w:val="both"/>
        <w:rPr>
          <w:sz w:val="20"/>
          <w:szCs w:val="20"/>
        </w:rPr>
      </w:pPr>
      <w:r w:rsidRPr="006D04A5">
        <w:rPr>
          <w:sz w:val="20"/>
          <w:szCs w:val="20"/>
        </w:rPr>
        <w:t xml:space="preserve">We now examine the NASDAQ index for </w:t>
      </w:r>
      <w:r w:rsidR="00E940A0" w:rsidRPr="006D04A5">
        <w:rPr>
          <w:sz w:val="20"/>
          <w:szCs w:val="20"/>
        </w:rPr>
        <w:t xml:space="preserve">Friday the </w:t>
      </w:r>
      <w:r w:rsidR="00A64823" w:rsidRPr="006D04A5">
        <w:rPr>
          <w:sz w:val="20"/>
          <w:szCs w:val="20"/>
        </w:rPr>
        <w:t>thirteenth</w:t>
      </w:r>
      <w:r w:rsidR="00E940A0" w:rsidRPr="006D04A5">
        <w:rPr>
          <w:sz w:val="20"/>
          <w:szCs w:val="20"/>
        </w:rPr>
        <w:t xml:space="preserve"> </w:t>
      </w:r>
      <w:r w:rsidRPr="006D04A5">
        <w:rPr>
          <w:sz w:val="20"/>
          <w:szCs w:val="20"/>
        </w:rPr>
        <w:t xml:space="preserve">effect.  </w:t>
      </w:r>
      <w:r w:rsidR="00AA3E1F" w:rsidRPr="006D04A5">
        <w:rPr>
          <w:sz w:val="20"/>
          <w:szCs w:val="20"/>
        </w:rPr>
        <w:t xml:space="preserve">As </w:t>
      </w:r>
      <w:r w:rsidR="00EE44D6" w:rsidRPr="006D04A5">
        <w:rPr>
          <w:sz w:val="20"/>
          <w:szCs w:val="20"/>
        </w:rPr>
        <w:t xml:space="preserve">reported </w:t>
      </w:r>
      <w:r w:rsidR="00AA3E1F" w:rsidRPr="006D04A5">
        <w:rPr>
          <w:sz w:val="20"/>
          <w:szCs w:val="20"/>
        </w:rPr>
        <w:t>earlier, t</w:t>
      </w:r>
      <w:r w:rsidRPr="006D04A5">
        <w:rPr>
          <w:sz w:val="20"/>
          <w:szCs w:val="20"/>
        </w:rPr>
        <w:t xml:space="preserve">he NASDAQ </w:t>
      </w:r>
      <w:r w:rsidR="00AA3E1F" w:rsidRPr="006D04A5">
        <w:rPr>
          <w:sz w:val="20"/>
          <w:szCs w:val="20"/>
        </w:rPr>
        <w:t>index was created in February 5, 1971</w:t>
      </w:r>
      <w:r w:rsidR="00EE44D6" w:rsidRPr="006D04A5">
        <w:rPr>
          <w:sz w:val="20"/>
          <w:szCs w:val="20"/>
        </w:rPr>
        <w:t>.  W</w:t>
      </w:r>
      <w:r w:rsidR="00A9717F" w:rsidRPr="006D04A5">
        <w:rPr>
          <w:sz w:val="20"/>
          <w:szCs w:val="20"/>
        </w:rPr>
        <w:t>e examine the effect for the overall period</w:t>
      </w:r>
      <w:r w:rsidR="00EE44D6" w:rsidRPr="006D04A5">
        <w:rPr>
          <w:sz w:val="20"/>
          <w:szCs w:val="20"/>
        </w:rPr>
        <w:t>, February 1971 to December 2007</w:t>
      </w:r>
      <w:r w:rsidR="00A9717F" w:rsidRPr="006D04A5">
        <w:rPr>
          <w:sz w:val="20"/>
          <w:szCs w:val="20"/>
        </w:rPr>
        <w:t xml:space="preserve"> </w:t>
      </w:r>
      <w:r w:rsidR="00EE44D6" w:rsidRPr="006D04A5">
        <w:rPr>
          <w:sz w:val="20"/>
          <w:szCs w:val="20"/>
        </w:rPr>
        <w:t xml:space="preserve">as well as over </w:t>
      </w:r>
      <w:r w:rsidR="00A9717F" w:rsidRPr="006D04A5">
        <w:rPr>
          <w:sz w:val="20"/>
          <w:szCs w:val="20"/>
        </w:rPr>
        <w:t>four sub-periods</w:t>
      </w:r>
      <w:r w:rsidR="00EE44D6" w:rsidRPr="006D04A5">
        <w:rPr>
          <w:sz w:val="20"/>
          <w:szCs w:val="20"/>
        </w:rPr>
        <w:t xml:space="preserve"> which are</w:t>
      </w:r>
      <w:r w:rsidR="00A9717F" w:rsidRPr="006D04A5">
        <w:rPr>
          <w:sz w:val="20"/>
          <w:szCs w:val="20"/>
        </w:rPr>
        <w:t>: (1) February 1971 to December 1979 (2) January 1980 to December 1989 (3) January 1990 to December 1999 (4) January 2000 to December 2007.</w:t>
      </w:r>
      <w:r w:rsidR="00076EAC" w:rsidRPr="006D04A5">
        <w:rPr>
          <w:sz w:val="20"/>
          <w:szCs w:val="20"/>
        </w:rPr>
        <w:t xml:space="preserve">  The results are reported in Table 2.</w:t>
      </w:r>
    </w:p>
    <w:p w:rsidR="000E01CE" w:rsidRPr="006D04A5" w:rsidRDefault="000E01CE" w:rsidP="006D04A5">
      <w:pPr>
        <w:jc w:val="both"/>
        <w:rPr>
          <w:sz w:val="20"/>
          <w:szCs w:val="20"/>
        </w:rPr>
      </w:pPr>
    </w:p>
    <w:p w:rsidR="00FC2338" w:rsidRPr="006D04A5" w:rsidRDefault="0036781D" w:rsidP="006D04A5">
      <w:pPr>
        <w:ind w:firstLine="720"/>
        <w:jc w:val="both"/>
        <w:rPr>
          <w:sz w:val="20"/>
          <w:szCs w:val="20"/>
        </w:rPr>
      </w:pPr>
      <w:r w:rsidRPr="006D04A5">
        <w:rPr>
          <w:sz w:val="20"/>
          <w:szCs w:val="20"/>
        </w:rPr>
        <w:t xml:space="preserve">For the overall period, there </w:t>
      </w:r>
      <w:r w:rsidR="001D484F" w:rsidRPr="006D04A5">
        <w:rPr>
          <w:sz w:val="20"/>
          <w:szCs w:val="20"/>
        </w:rPr>
        <w:t xml:space="preserve">are </w:t>
      </w:r>
      <w:r w:rsidRPr="006D04A5">
        <w:rPr>
          <w:sz w:val="20"/>
          <w:szCs w:val="20"/>
        </w:rPr>
        <w:t xml:space="preserve">59 Friday the thirteenths compared to 1803 other Fridays.  </w:t>
      </w:r>
      <w:r w:rsidR="00FC2338" w:rsidRPr="006D04A5">
        <w:rPr>
          <w:sz w:val="20"/>
          <w:szCs w:val="20"/>
        </w:rPr>
        <w:t xml:space="preserve">In fact, </w:t>
      </w:r>
      <w:r w:rsidR="00EE44D6" w:rsidRPr="006D04A5">
        <w:rPr>
          <w:sz w:val="20"/>
          <w:szCs w:val="20"/>
        </w:rPr>
        <w:t xml:space="preserve">daily </w:t>
      </w:r>
      <w:r w:rsidR="00FC2338" w:rsidRPr="006D04A5">
        <w:rPr>
          <w:sz w:val="20"/>
          <w:szCs w:val="20"/>
        </w:rPr>
        <w:t>returns on Friday the thirteenth for t</w:t>
      </w:r>
      <w:r w:rsidR="00A9717F" w:rsidRPr="006D04A5">
        <w:rPr>
          <w:sz w:val="20"/>
          <w:szCs w:val="20"/>
        </w:rPr>
        <w:t xml:space="preserve">he NASDAQ index </w:t>
      </w:r>
      <w:r w:rsidR="00FC2338" w:rsidRPr="006D04A5">
        <w:rPr>
          <w:sz w:val="20"/>
          <w:szCs w:val="20"/>
        </w:rPr>
        <w:t>were actually higher (0.2019</w:t>
      </w:r>
      <w:r w:rsidR="00EE44D6" w:rsidRPr="006D04A5">
        <w:rPr>
          <w:sz w:val="20"/>
          <w:szCs w:val="20"/>
        </w:rPr>
        <w:t xml:space="preserve"> percent</w:t>
      </w:r>
      <w:r w:rsidR="00FC2338" w:rsidRPr="006D04A5">
        <w:rPr>
          <w:sz w:val="20"/>
          <w:szCs w:val="20"/>
        </w:rPr>
        <w:t>) than that of the other Fridays (0.1062</w:t>
      </w:r>
      <w:r w:rsidR="00EE44D6" w:rsidRPr="006D04A5">
        <w:rPr>
          <w:sz w:val="20"/>
          <w:szCs w:val="20"/>
        </w:rPr>
        <w:t xml:space="preserve"> percent</w:t>
      </w:r>
      <w:r w:rsidR="00FC2338" w:rsidRPr="006D04A5">
        <w:rPr>
          <w:sz w:val="20"/>
          <w:szCs w:val="20"/>
        </w:rPr>
        <w:t>).  The</w:t>
      </w:r>
      <w:r w:rsidR="00EE44D6" w:rsidRPr="006D04A5">
        <w:rPr>
          <w:sz w:val="20"/>
          <w:szCs w:val="20"/>
        </w:rPr>
        <w:t>se</w:t>
      </w:r>
      <w:r w:rsidR="001D484F" w:rsidRPr="006D04A5">
        <w:rPr>
          <w:sz w:val="20"/>
          <w:szCs w:val="20"/>
        </w:rPr>
        <w:t xml:space="preserve"> differences a</w:t>
      </w:r>
      <w:r w:rsidR="00FC2338" w:rsidRPr="006D04A5">
        <w:rPr>
          <w:sz w:val="20"/>
          <w:szCs w:val="20"/>
        </w:rPr>
        <w:t xml:space="preserve">re </w:t>
      </w:r>
      <w:r w:rsidR="005C09B5" w:rsidRPr="006D04A5">
        <w:rPr>
          <w:sz w:val="20"/>
          <w:szCs w:val="20"/>
        </w:rPr>
        <w:t xml:space="preserve">however </w:t>
      </w:r>
      <w:r w:rsidR="00FC2338" w:rsidRPr="006D04A5">
        <w:rPr>
          <w:sz w:val="20"/>
          <w:szCs w:val="20"/>
        </w:rPr>
        <w:t xml:space="preserve">not statistically significant and therefore the NASDAQ index </w:t>
      </w:r>
      <w:r w:rsidR="00A9717F" w:rsidRPr="006D04A5">
        <w:rPr>
          <w:sz w:val="20"/>
          <w:szCs w:val="20"/>
        </w:rPr>
        <w:t xml:space="preserve">also did not exhibit Friday the </w:t>
      </w:r>
      <w:r w:rsidR="00A64823" w:rsidRPr="006D04A5">
        <w:rPr>
          <w:sz w:val="20"/>
          <w:szCs w:val="20"/>
        </w:rPr>
        <w:t>thirteenth</w:t>
      </w:r>
      <w:r w:rsidR="00A9717F" w:rsidRPr="006D04A5">
        <w:rPr>
          <w:sz w:val="20"/>
          <w:szCs w:val="20"/>
        </w:rPr>
        <w:t xml:space="preserve"> </w:t>
      </w:r>
      <w:r w:rsidR="00FC2338" w:rsidRPr="006D04A5">
        <w:rPr>
          <w:sz w:val="20"/>
          <w:szCs w:val="20"/>
        </w:rPr>
        <w:t xml:space="preserve">effect for the overall </w:t>
      </w:r>
      <w:r w:rsidR="00EE44D6" w:rsidRPr="006D04A5">
        <w:rPr>
          <w:sz w:val="20"/>
          <w:szCs w:val="20"/>
        </w:rPr>
        <w:t>period</w:t>
      </w:r>
      <w:r w:rsidR="00FC2338" w:rsidRPr="006D04A5">
        <w:rPr>
          <w:sz w:val="20"/>
          <w:szCs w:val="20"/>
        </w:rPr>
        <w:t>.</w:t>
      </w:r>
    </w:p>
    <w:p w:rsidR="00B2711F" w:rsidRPr="006D04A5" w:rsidRDefault="00B2711F" w:rsidP="006D04A5">
      <w:pPr>
        <w:ind w:firstLine="720"/>
        <w:jc w:val="both"/>
        <w:rPr>
          <w:sz w:val="18"/>
          <w:szCs w:val="18"/>
        </w:rPr>
      </w:pPr>
    </w:p>
    <w:p w:rsidR="00FC2338" w:rsidRPr="006D04A5" w:rsidRDefault="00FC2338" w:rsidP="006D04A5">
      <w:pPr>
        <w:jc w:val="both"/>
        <w:rPr>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58"/>
        <w:gridCol w:w="1231"/>
        <w:gridCol w:w="1400"/>
        <w:gridCol w:w="1400"/>
        <w:gridCol w:w="1400"/>
        <w:gridCol w:w="1387"/>
      </w:tblGrid>
      <w:tr w:rsidR="0027621A" w:rsidRPr="006D04A5" w:rsidTr="006D04A5">
        <w:trPr>
          <w:trHeight w:val="520"/>
        </w:trPr>
        <w:tc>
          <w:tcPr>
            <w:tcW w:w="5000" w:type="pct"/>
            <w:gridSpan w:val="6"/>
            <w:tcBorders>
              <w:bottom w:val="single" w:sz="4" w:space="0" w:color="auto"/>
            </w:tcBorders>
          </w:tcPr>
          <w:p w:rsidR="0027621A" w:rsidRPr="006D04A5" w:rsidRDefault="0027621A" w:rsidP="006D04A5">
            <w:pPr>
              <w:jc w:val="center"/>
              <w:rPr>
                <w:b/>
                <w:sz w:val="18"/>
                <w:szCs w:val="18"/>
              </w:rPr>
            </w:pPr>
            <w:r w:rsidRPr="006D04A5">
              <w:rPr>
                <w:b/>
                <w:sz w:val="18"/>
                <w:szCs w:val="18"/>
              </w:rPr>
              <w:t>Table 2</w:t>
            </w:r>
          </w:p>
          <w:p w:rsidR="0027621A" w:rsidRPr="006D04A5" w:rsidRDefault="0027621A" w:rsidP="006D04A5">
            <w:pPr>
              <w:jc w:val="center"/>
              <w:rPr>
                <w:b/>
                <w:sz w:val="18"/>
                <w:szCs w:val="18"/>
              </w:rPr>
            </w:pPr>
            <w:r w:rsidRPr="006D04A5">
              <w:rPr>
                <w:b/>
                <w:sz w:val="18"/>
                <w:szCs w:val="18"/>
              </w:rPr>
              <w:t>Friday Returns to the NASDAQ Index: 1971-2007</w:t>
            </w:r>
          </w:p>
        </w:tc>
      </w:tr>
      <w:tr w:rsidR="0027621A" w:rsidRPr="006D04A5">
        <w:tc>
          <w:tcPr>
            <w:tcW w:w="1440" w:type="pct"/>
            <w:tcBorders>
              <w:top w:val="single" w:sz="4" w:space="0" w:color="auto"/>
              <w:bottom w:val="single" w:sz="4" w:space="0" w:color="auto"/>
            </w:tcBorders>
          </w:tcPr>
          <w:p w:rsidR="0027621A" w:rsidRPr="006D04A5" w:rsidRDefault="0027621A" w:rsidP="006D04A5">
            <w:pPr>
              <w:jc w:val="both"/>
              <w:rPr>
                <w:sz w:val="18"/>
                <w:szCs w:val="18"/>
              </w:rPr>
            </w:pPr>
          </w:p>
        </w:tc>
        <w:tc>
          <w:tcPr>
            <w:tcW w:w="643"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Overall</w:t>
            </w:r>
          </w:p>
        </w:tc>
        <w:tc>
          <w:tcPr>
            <w:tcW w:w="731"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1971-79</w:t>
            </w:r>
          </w:p>
        </w:tc>
        <w:tc>
          <w:tcPr>
            <w:tcW w:w="731"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1980-89</w:t>
            </w:r>
          </w:p>
        </w:tc>
        <w:tc>
          <w:tcPr>
            <w:tcW w:w="731"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1990-99</w:t>
            </w:r>
          </w:p>
        </w:tc>
        <w:tc>
          <w:tcPr>
            <w:tcW w:w="724" w:type="pct"/>
            <w:tcBorders>
              <w:top w:val="single" w:sz="4" w:space="0" w:color="auto"/>
              <w:bottom w:val="single" w:sz="4" w:space="0" w:color="auto"/>
            </w:tcBorders>
          </w:tcPr>
          <w:p w:rsidR="0027621A" w:rsidRPr="006D04A5" w:rsidRDefault="0027621A" w:rsidP="006D04A5">
            <w:pPr>
              <w:jc w:val="right"/>
              <w:rPr>
                <w:b/>
                <w:sz w:val="18"/>
                <w:szCs w:val="18"/>
              </w:rPr>
            </w:pPr>
            <w:r w:rsidRPr="006D04A5">
              <w:rPr>
                <w:b/>
                <w:sz w:val="18"/>
                <w:szCs w:val="18"/>
              </w:rPr>
              <w:t>2000-07</w:t>
            </w:r>
          </w:p>
        </w:tc>
      </w:tr>
      <w:tr w:rsidR="0027621A" w:rsidRPr="006D04A5">
        <w:tc>
          <w:tcPr>
            <w:tcW w:w="1440" w:type="pct"/>
            <w:tcBorders>
              <w:top w:val="single" w:sz="4" w:space="0" w:color="auto"/>
            </w:tcBorders>
          </w:tcPr>
          <w:p w:rsidR="0027621A" w:rsidRPr="006D04A5" w:rsidRDefault="0027621A" w:rsidP="006D04A5">
            <w:pPr>
              <w:jc w:val="center"/>
              <w:rPr>
                <w:b/>
                <w:i/>
                <w:sz w:val="18"/>
                <w:szCs w:val="18"/>
              </w:rPr>
            </w:pPr>
            <w:r w:rsidRPr="006D04A5">
              <w:rPr>
                <w:b/>
                <w:i/>
                <w:sz w:val="18"/>
                <w:szCs w:val="18"/>
              </w:rPr>
              <w:t>Friday the 13th</w:t>
            </w:r>
          </w:p>
        </w:tc>
        <w:tc>
          <w:tcPr>
            <w:tcW w:w="643" w:type="pct"/>
            <w:tcBorders>
              <w:top w:val="single" w:sz="4" w:space="0" w:color="auto"/>
            </w:tcBorders>
          </w:tcPr>
          <w:p w:rsidR="0027621A" w:rsidRPr="006D04A5" w:rsidRDefault="0027621A" w:rsidP="006D04A5">
            <w:pPr>
              <w:jc w:val="right"/>
              <w:rPr>
                <w:sz w:val="18"/>
                <w:szCs w:val="18"/>
              </w:rPr>
            </w:pPr>
          </w:p>
        </w:tc>
        <w:tc>
          <w:tcPr>
            <w:tcW w:w="731" w:type="pct"/>
            <w:tcBorders>
              <w:top w:val="single" w:sz="4" w:space="0" w:color="auto"/>
            </w:tcBorders>
          </w:tcPr>
          <w:p w:rsidR="0027621A" w:rsidRPr="006D04A5" w:rsidRDefault="0027621A" w:rsidP="006D04A5">
            <w:pPr>
              <w:jc w:val="right"/>
              <w:rPr>
                <w:sz w:val="18"/>
                <w:szCs w:val="18"/>
              </w:rPr>
            </w:pPr>
          </w:p>
        </w:tc>
        <w:tc>
          <w:tcPr>
            <w:tcW w:w="731" w:type="pct"/>
            <w:tcBorders>
              <w:top w:val="single" w:sz="4" w:space="0" w:color="auto"/>
            </w:tcBorders>
          </w:tcPr>
          <w:p w:rsidR="0027621A" w:rsidRPr="006D04A5" w:rsidRDefault="0027621A" w:rsidP="006D04A5">
            <w:pPr>
              <w:jc w:val="right"/>
              <w:rPr>
                <w:sz w:val="18"/>
                <w:szCs w:val="18"/>
              </w:rPr>
            </w:pPr>
          </w:p>
        </w:tc>
        <w:tc>
          <w:tcPr>
            <w:tcW w:w="731" w:type="pct"/>
            <w:tcBorders>
              <w:top w:val="single" w:sz="4" w:space="0" w:color="auto"/>
            </w:tcBorders>
          </w:tcPr>
          <w:p w:rsidR="0027621A" w:rsidRPr="006D04A5" w:rsidRDefault="0027621A" w:rsidP="006D04A5">
            <w:pPr>
              <w:jc w:val="right"/>
              <w:rPr>
                <w:sz w:val="18"/>
                <w:szCs w:val="18"/>
              </w:rPr>
            </w:pPr>
          </w:p>
        </w:tc>
        <w:tc>
          <w:tcPr>
            <w:tcW w:w="724" w:type="pct"/>
            <w:tcBorders>
              <w:top w:val="single" w:sz="4" w:space="0" w:color="auto"/>
            </w:tcBorders>
          </w:tcPr>
          <w:p w:rsidR="0027621A" w:rsidRPr="006D04A5" w:rsidRDefault="0027621A" w:rsidP="006D04A5">
            <w:pPr>
              <w:jc w:val="right"/>
              <w:rPr>
                <w:sz w:val="18"/>
                <w:szCs w:val="18"/>
              </w:rPr>
            </w:pPr>
          </w:p>
        </w:tc>
      </w:tr>
      <w:tr w:rsidR="0027621A" w:rsidRPr="006D04A5">
        <w:tc>
          <w:tcPr>
            <w:tcW w:w="1440" w:type="pct"/>
          </w:tcPr>
          <w:p w:rsidR="0027621A" w:rsidRPr="006D04A5" w:rsidRDefault="0027621A" w:rsidP="006D04A5">
            <w:pPr>
              <w:jc w:val="both"/>
              <w:rPr>
                <w:sz w:val="18"/>
                <w:szCs w:val="18"/>
              </w:rPr>
            </w:pPr>
            <w:r w:rsidRPr="006D04A5">
              <w:rPr>
                <w:sz w:val="18"/>
                <w:szCs w:val="18"/>
              </w:rPr>
              <w:t>Mean</w:t>
            </w:r>
          </w:p>
        </w:tc>
        <w:tc>
          <w:tcPr>
            <w:tcW w:w="643" w:type="pct"/>
          </w:tcPr>
          <w:p w:rsidR="0027621A" w:rsidRPr="006D04A5" w:rsidRDefault="0027621A" w:rsidP="006D04A5">
            <w:pPr>
              <w:jc w:val="right"/>
              <w:rPr>
                <w:sz w:val="18"/>
                <w:szCs w:val="18"/>
              </w:rPr>
            </w:pPr>
            <w:r w:rsidRPr="006D04A5">
              <w:rPr>
                <w:sz w:val="18"/>
                <w:szCs w:val="18"/>
              </w:rPr>
              <w:t>0.2019</w:t>
            </w:r>
          </w:p>
        </w:tc>
        <w:tc>
          <w:tcPr>
            <w:tcW w:w="731" w:type="pct"/>
          </w:tcPr>
          <w:p w:rsidR="0027621A" w:rsidRPr="006D04A5" w:rsidRDefault="0027621A" w:rsidP="006D04A5">
            <w:pPr>
              <w:jc w:val="right"/>
              <w:rPr>
                <w:sz w:val="18"/>
                <w:szCs w:val="18"/>
              </w:rPr>
            </w:pPr>
            <w:r w:rsidRPr="006D04A5">
              <w:rPr>
                <w:sz w:val="18"/>
                <w:szCs w:val="18"/>
              </w:rPr>
              <w:t>-0.1311</w:t>
            </w:r>
          </w:p>
        </w:tc>
        <w:tc>
          <w:tcPr>
            <w:tcW w:w="731" w:type="pct"/>
          </w:tcPr>
          <w:p w:rsidR="0027621A" w:rsidRPr="006D04A5" w:rsidRDefault="0027621A" w:rsidP="006D04A5">
            <w:pPr>
              <w:jc w:val="right"/>
              <w:rPr>
                <w:sz w:val="18"/>
                <w:szCs w:val="18"/>
              </w:rPr>
            </w:pPr>
            <w:r w:rsidRPr="006D04A5">
              <w:rPr>
                <w:sz w:val="18"/>
                <w:szCs w:val="18"/>
              </w:rPr>
              <w:t>0.0173</w:t>
            </w:r>
          </w:p>
        </w:tc>
        <w:tc>
          <w:tcPr>
            <w:tcW w:w="731" w:type="pct"/>
          </w:tcPr>
          <w:p w:rsidR="0027621A" w:rsidRPr="006D04A5" w:rsidRDefault="0027621A" w:rsidP="006D04A5">
            <w:pPr>
              <w:jc w:val="right"/>
              <w:rPr>
                <w:sz w:val="18"/>
                <w:szCs w:val="18"/>
              </w:rPr>
            </w:pPr>
            <w:r w:rsidRPr="006D04A5">
              <w:rPr>
                <w:sz w:val="18"/>
                <w:szCs w:val="18"/>
              </w:rPr>
              <w:t>0.4536</w:t>
            </w:r>
          </w:p>
        </w:tc>
        <w:tc>
          <w:tcPr>
            <w:tcW w:w="724" w:type="pct"/>
          </w:tcPr>
          <w:p w:rsidR="0027621A" w:rsidRPr="006D04A5" w:rsidRDefault="0027621A" w:rsidP="006D04A5">
            <w:pPr>
              <w:jc w:val="right"/>
              <w:rPr>
                <w:sz w:val="18"/>
                <w:szCs w:val="18"/>
              </w:rPr>
            </w:pPr>
            <w:r w:rsidRPr="006D04A5">
              <w:rPr>
                <w:sz w:val="18"/>
                <w:szCs w:val="18"/>
              </w:rPr>
              <w:t>0.5037</w:t>
            </w:r>
          </w:p>
        </w:tc>
      </w:tr>
      <w:tr w:rsidR="0027621A" w:rsidRPr="006D04A5">
        <w:tc>
          <w:tcPr>
            <w:tcW w:w="1440" w:type="pct"/>
          </w:tcPr>
          <w:p w:rsidR="0027621A" w:rsidRPr="006D04A5" w:rsidRDefault="0027621A" w:rsidP="006D04A5">
            <w:pPr>
              <w:jc w:val="both"/>
              <w:rPr>
                <w:sz w:val="18"/>
                <w:szCs w:val="18"/>
              </w:rPr>
            </w:pPr>
            <w:r w:rsidRPr="006D04A5">
              <w:rPr>
                <w:sz w:val="18"/>
                <w:szCs w:val="18"/>
              </w:rPr>
              <w:t>Standard deviation</w:t>
            </w:r>
          </w:p>
        </w:tc>
        <w:tc>
          <w:tcPr>
            <w:tcW w:w="643" w:type="pct"/>
          </w:tcPr>
          <w:p w:rsidR="0027621A" w:rsidRPr="006D04A5" w:rsidRDefault="0027621A" w:rsidP="006D04A5">
            <w:pPr>
              <w:jc w:val="right"/>
              <w:rPr>
                <w:sz w:val="18"/>
                <w:szCs w:val="18"/>
              </w:rPr>
            </w:pPr>
            <w:r w:rsidRPr="006D04A5">
              <w:rPr>
                <w:sz w:val="18"/>
                <w:szCs w:val="18"/>
              </w:rPr>
              <w:t>1.3969</w:t>
            </w:r>
          </w:p>
        </w:tc>
        <w:tc>
          <w:tcPr>
            <w:tcW w:w="731" w:type="pct"/>
          </w:tcPr>
          <w:p w:rsidR="0027621A" w:rsidRPr="006D04A5" w:rsidRDefault="0027621A" w:rsidP="006D04A5">
            <w:pPr>
              <w:jc w:val="right"/>
              <w:rPr>
                <w:sz w:val="18"/>
                <w:szCs w:val="18"/>
              </w:rPr>
            </w:pPr>
            <w:r w:rsidRPr="006D04A5">
              <w:rPr>
                <w:sz w:val="18"/>
                <w:szCs w:val="18"/>
              </w:rPr>
              <w:t>0.5897</w:t>
            </w:r>
          </w:p>
        </w:tc>
        <w:tc>
          <w:tcPr>
            <w:tcW w:w="731" w:type="pct"/>
          </w:tcPr>
          <w:p w:rsidR="0027621A" w:rsidRPr="006D04A5" w:rsidRDefault="0027621A" w:rsidP="006D04A5">
            <w:pPr>
              <w:jc w:val="right"/>
              <w:rPr>
                <w:sz w:val="18"/>
                <w:szCs w:val="18"/>
              </w:rPr>
            </w:pPr>
            <w:r w:rsidRPr="006D04A5">
              <w:rPr>
                <w:sz w:val="18"/>
                <w:szCs w:val="18"/>
              </w:rPr>
              <w:t>0.9655</w:t>
            </w:r>
          </w:p>
        </w:tc>
        <w:tc>
          <w:tcPr>
            <w:tcW w:w="731" w:type="pct"/>
          </w:tcPr>
          <w:p w:rsidR="0027621A" w:rsidRPr="006D04A5" w:rsidRDefault="0027621A" w:rsidP="006D04A5">
            <w:pPr>
              <w:jc w:val="right"/>
              <w:rPr>
                <w:sz w:val="18"/>
                <w:szCs w:val="18"/>
              </w:rPr>
            </w:pPr>
            <w:r w:rsidRPr="006D04A5">
              <w:rPr>
                <w:sz w:val="18"/>
                <w:szCs w:val="18"/>
              </w:rPr>
              <w:t>1.0762</w:t>
            </w:r>
          </w:p>
        </w:tc>
        <w:tc>
          <w:tcPr>
            <w:tcW w:w="724" w:type="pct"/>
          </w:tcPr>
          <w:p w:rsidR="0027621A" w:rsidRPr="006D04A5" w:rsidRDefault="0027621A" w:rsidP="006D04A5">
            <w:pPr>
              <w:jc w:val="right"/>
              <w:rPr>
                <w:sz w:val="18"/>
                <w:szCs w:val="18"/>
              </w:rPr>
            </w:pPr>
            <w:r w:rsidRPr="006D04A5">
              <w:rPr>
                <w:sz w:val="18"/>
                <w:szCs w:val="18"/>
              </w:rPr>
              <w:t>2.5518</w:t>
            </w:r>
          </w:p>
        </w:tc>
      </w:tr>
      <w:tr w:rsidR="0027621A" w:rsidRPr="006D04A5">
        <w:tc>
          <w:tcPr>
            <w:tcW w:w="1440" w:type="pct"/>
          </w:tcPr>
          <w:p w:rsidR="0027621A" w:rsidRPr="006D04A5" w:rsidRDefault="0027621A" w:rsidP="006D04A5">
            <w:pPr>
              <w:jc w:val="both"/>
              <w:rPr>
                <w:sz w:val="18"/>
                <w:szCs w:val="18"/>
              </w:rPr>
            </w:pPr>
            <w:r w:rsidRPr="006D04A5">
              <w:rPr>
                <w:sz w:val="18"/>
                <w:szCs w:val="18"/>
              </w:rPr>
              <w:t>Observations</w:t>
            </w:r>
          </w:p>
        </w:tc>
        <w:tc>
          <w:tcPr>
            <w:tcW w:w="643" w:type="pct"/>
          </w:tcPr>
          <w:p w:rsidR="0027621A" w:rsidRPr="006D04A5" w:rsidRDefault="0027621A" w:rsidP="006D04A5">
            <w:pPr>
              <w:jc w:val="right"/>
              <w:rPr>
                <w:sz w:val="18"/>
                <w:szCs w:val="18"/>
              </w:rPr>
            </w:pPr>
            <w:r w:rsidRPr="006D04A5">
              <w:rPr>
                <w:sz w:val="18"/>
                <w:szCs w:val="18"/>
              </w:rPr>
              <w:t>59</w:t>
            </w:r>
          </w:p>
        </w:tc>
        <w:tc>
          <w:tcPr>
            <w:tcW w:w="731" w:type="pct"/>
          </w:tcPr>
          <w:p w:rsidR="0027621A" w:rsidRPr="006D04A5" w:rsidRDefault="0027621A" w:rsidP="006D04A5">
            <w:pPr>
              <w:jc w:val="right"/>
              <w:rPr>
                <w:sz w:val="18"/>
                <w:szCs w:val="18"/>
              </w:rPr>
            </w:pPr>
            <w:r w:rsidRPr="006D04A5">
              <w:rPr>
                <w:sz w:val="18"/>
                <w:szCs w:val="18"/>
              </w:rPr>
              <w:t>13</w:t>
            </w:r>
          </w:p>
        </w:tc>
        <w:tc>
          <w:tcPr>
            <w:tcW w:w="731" w:type="pct"/>
          </w:tcPr>
          <w:p w:rsidR="0027621A" w:rsidRPr="006D04A5" w:rsidRDefault="0027621A" w:rsidP="006D04A5">
            <w:pPr>
              <w:jc w:val="right"/>
              <w:rPr>
                <w:sz w:val="18"/>
                <w:szCs w:val="18"/>
              </w:rPr>
            </w:pPr>
            <w:r w:rsidRPr="006D04A5">
              <w:rPr>
                <w:sz w:val="18"/>
                <w:szCs w:val="18"/>
              </w:rPr>
              <w:t>18</w:t>
            </w:r>
          </w:p>
        </w:tc>
        <w:tc>
          <w:tcPr>
            <w:tcW w:w="731" w:type="pct"/>
          </w:tcPr>
          <w:p w:rsidR="0027621A" w:rsidRPr="006D04A5" w:rsidRDefault="0027621A" w:rsidP="006D04A5">
            <w:pPr>
              <w:jc w:val="right"/>
              <w:rPr>
                <w:sz w:val="18"/>
                <w:szCs w:val="18"/>
              </w:rPr>
            </w:pPr>
            <w:r w:rsidRPr="006D04A5">
              <w:rPr>
                <w:sz w:val="18"/>
                <w:szCs w:val="18"/>
              </w:rPr>
              <w:t>16</w:t>
            </w:r>
          </w:p>
        </w:tc>
        <w:tc>
          <w:tcPr>
            <w:tcW w:w="724" w:type="pct"/>
          </w:tcPr>
          <w:p w:rsidR="0027621A" w:rsidRPr="006D04A5" w:rsidRDefault="0027621A" w:rsidP="006D04A5">
            <w:pPr>
              <w:jc w:val="right"/>
              <w:rPr>
                <w:sz w:val="18"/>
                <w:szCs w:val="18"/>
              </w:rPr>
            </w:pPr>
            <w:r w:rsidRPr="006D04A5">
              <w:rPr>
                <w:sz w:val="18"/>
                <w:szCs w:val="18"/>
              </w:rPr>
              <w:t>12</w:t>
            </w:r>
          </w:p>
        </w:tc>
      </w:tr>
      <w:tr w:rsidR="0027621A" w:rsidRPr="006D04A5">
        <w:tc>
          <w:tcPr>
            <w:tcW w:w="1440" w:type="pct"/>
          </w:tcPr>
          <w:p w:rsidR="0027621A" w:rsidRPr="006D04A5" w:rsidRDefault="0027621A" w:rsidP="006D04A5">
            <w:pPr>
              <w:jc w:val="center"/>
              <w:rPr>
                <w:b/>
                <w:i/>
                <w:sz w:val="18"/>
                <w:szCs w:val="18"/>
              </w:rPr>
            </w:pPr>
            <w:r w:rsidRPr="006D04A5">
              <w:rPr>
                <w:b/>
                <w:i/>
                <w:sz w:val="18"/>
                <w:szCs w:val="18"/>
              </w:rPr>
              <w:t>Other Fridays</w:t>
            </w:r>
          </w:p>
        </w:tc>
        <w:tc>
          <w:tcPr>
            <w:tcW w:w="643" w:type="pct"/>
          </w:tcPr>
          <w:p w:rsidR="0027621A" w:rsidRPr="006D04A5" w:rsidRDefault="0027621A" w:rsidP="006D04A5">
            <w:pPr>
              <w:jc w:val="right"/>
              <w:rPr>
                <w:sz w:val="18"/>
                <w:szCs w:val="18"/>
              </w:rPr>
            </w:pPr>
          </w:p>
        </w:tc>
        <w:tc>
          <w:tcPr>
            <w:tcW w:w="731" w:type="pct"/>
          </w:tcPr>
          <w:p w:rsidR="0027621A" w:rsidRPr="006D04A5" w:rsidRDefault="0027621A" w:rsidP="006D04A5">
            <w:pPr>
              <w:jc w:val="right"/>
              <w:rPr>
                <w:sz w:val="18"/>
                <w:szCs w:val="18"/>
              </w:rPr>
            </w:pPr>
          </w:p>
        </w:tc>
        <w:tc>
          <w:tcPr>
            <w:tcW w:w="731" w:type="pct"/>
          </w:tcPr>
          <w:p w:rsidR="0027621A" w:rsidRPr="006D04A5" w:rsidRDefault="0027621A" w:rsidP="006D04A5">
            <w:pPr>
              <w:jc w:val="right"/>
              <w:rPr>
                <w:sz w:val="18"/>
                <w:szCs w:val="18"/>
              </w:rPr>
            </w:pPr>
          </w:p>
        </w:tc>
        <w:tc>
          <w:tcPr>
            <w:tcW w:w="731" w:type="pct"/>
          </w:tcPr>
          <w:p w:rsidR="0027621A" w:rsidRPr="006D04A5" w:rsidRDefault="0027621A" w:rsidP="006D04A5">
            <w:pPr>
              <w:jc w:val="right"/>
              <w:rPr>
                <w:sz w:val="18"/>
                <w:szCs w:val="18"/>
              </w:rPr>
            </w:pPr>
          </w:p>
        </w:tc>
        <w:tc>
          <w:tcPr>
            <w:tcW w:w="724" w:type="pct"/>
          </w:tcPr>
          <w:p w:rsidR="0027621A" w:rsidRPr="006D04A5" w:rsidRDefault="0027621A" w:rsidP="006D04A5">
            <w:pPr>
              <w:jc w:val="right"/>
              <w:rPr>
                <w:sz w:val="18"/>
                <w:szCs w:val="18"/>
              </w:rPr>
            </w:pPr>
          </w:p>
        </w:tc>
      </w:tr>
      <w:tr w:rsidR="0027621A" w:rsidRPr="006D04A5">
        <w:tc>
          <w:tcPr>
            <w:tcW w:w="1440" w:type="pct"/>
          </w:tcPr>
          <w:p w:rsidR="0027621A" w:rsidRPr="006D04A5" w:rsidRDefault="0027621A" w:rsidP="006D04A5">
            <w:pPr>
              <w:jc w:val="both"/>
              <w:rPr>
                <w:sz w:val="18"/>
                <w:szCs w:val="18"/>
              </w:rPr>
            </w:pPr>
            <w:r w:rsidRPr="006D04A5">
              <w:rPr>
                <w:sz w:val="18"/>
                <w:szCs w:val="18"/>
              </w:rPr>
              <w:t>Mean</w:t>
            </w:r>
          </w:p>
        </w:tc>
        <w:tc>
          <w:tcPr>
            <w:tcW w:w="643" w:type="pct"/>
          </w:tcPr>
          <w:p w:rsidR="0027621A" w:rsidRPr="006D04A5" w:rsidRDefault="0027621A" w:rsidP="006D04A5">
            <w:pPr>
              <w:jc w:val="right"/>
              <w:rPr>
                <w:sz w:val="18"/>
                <w:szCs w:val="18"/>
              </w:rPr>
            </w:pPr>
            <w:r w:rsidRPr="006D04A5">
              <w:rPr>
                <w:sz w:val="18"/>
                <w:szCs w:val="18"/>
              </w:rPr>
              <w:t>0.1062</w:t>
            </w:r>
          </w:p>
        </w:tc>
        <w:tc>
          <w:tcPr>
            <w:tcW w:w="731" w:type="pct"/>
          </w:tcPr>
          <w:p w:rsidR="0027621A" w:rsidRPr="006D04A5" w:rsidRDefault="0027621A" w:rsidP="006D04A5">
            <w:pPr>
              <w:jc w:val="right"/>
              <w:rPr>
                <w:sz w:val="18"/>
                <w:szCs w:val="18"/>
              </w:rPr>
            </w:pPr>
            <w:r w:rsidRPr="006D04A5">
              <w:rPr>
                <w:sz w:val="18"/>
                <w:szCs w:val="18"/>
              </w:rPr>
              <w:t>0.1804</w:t>
            </w:r>
          </w:p>
        </w:tc>
        <w:tc>
          <w:tcPr>
            <w:tcW w:w="731" w:type="pct"/>
          </w:tcPr>
          <w:p w:rsidR="0027621A" w:rsidRPr="006D04A5" w:rsidRDefault="0027621A" w:rsidP="006D04A5">
            <w:pPr>
              <w:jc w:val="right"/>
              <w:rPr>
                <w:sz w:val="18"/>
                <w:szCs w:val="18"/>
              </w:rPr>
            </w:pPr>
            <w:r w:rsidRPr="006D04A5">
              <w:rPr>
                <w:sz w:val="18"/>
                <w:szCs w:val="18"/>
              </w:rPr>
              <w:t>0.1933</w:t>
            </w:r>
          </w:p>
        </w:tc>
        <w:tc>
          <w:tcPr>
            <w:tcW w:w="731" w:type="pct"/>
          </w:tcPr>
          <w:p w:rsidR="0027621A" w:rsidRPr="006D04A5" w:rsidRDefault="0027621A" w:rsidP="006D04A5">
            <w:pPr>
              <w:jc w:val="right"/>
              <w:rPr>
                <w:sz w:val="18"/>
                <w:szCs w:val="18"/>
              </w:rPr>
            </w:pPr>
            <w:r w:rsidRPr="006D04A5">
              <w:rPr>
                <w:sz w:val="18"/>
                <w:szCs w:val="18"/>
              </w:rPr>
              <w:t>0.1115</w:t>
            </w:r>
          </w:p>
        </w:tc>
        <w:tc>
          <w:tcPr>
            <w:tcW w:w="724" w:type="pct"/>
          </w:tcPr>
          <w:p w:rsidR="0027621A" w:rsidRPr="006D04A5" w:rsidRDefault="0027621A" w:rsidP="006D04A5">
            <w:pPr>
              <w:jc w:val="right"/>
              <w:rPr>
                <w:sz w:val="18"/>
                <w:szCs w:val="18"/>
              </w:rPr>
            </w:pPr>
            <w:r w:rsidRPr="006D04A5">
              <w:rPr>
                <w:sz w:val="18"/>
                <w:szCs w:val="18"/>
              </w:rPr>
              <w:t>-0.0906</w:t>
            </w:r>
          </w:p>
        </w:tc>
      </w:tr>
      <w:tr w:rsidR="0027621A" w:rsidRPr="006D04A5">
        <w:tc>
          <w:tcPr>
            <w:tcW w:w="1440" w:type="pct"/>
          </w:tcPr>
          <w:p w:rsidR="0027621A" w:rsidRPr="006D04A5" w:rsidRDefault="0027621A" w:rsidP="006D04A5">
            <w:pPr>
              <w:jc w:val="both"/>
              <w:rPr>
                <w:sz w:val="18"/>
                <w:szCs w:val="18"/>
              </w:rPr>
            </w:pPr>
            <w:r w:rsidRPr="006D04A5">
              <w:rPr>
                <w:sz w:val="18"/>
                <w:szCs w:val="18"/>
              </w:rPr>
              <w:t>Standard deviation</w:t>
            </w:r>
          </w:p>
        </w:tc>
        <w:tc>
          <w:tcPr>
            <w:tcW w:w="643" w:type="pct"/>
          </w:tcPr>
          <w:p w:rsidR="0027621A" w:rsidRPr="006D04A5" w:rsidRDefault="0027621A" w:rsidP="006D04A5">
            <w:pPr>
              <w:jc w:val="right"/>
              <w:rPr>
                <w:sz w:val="18"/>
                <w:szCs w:val="18"/>
              </w:rPr>
            </w:pPr>
            <w:r w:rsidRPr="006D04A5">
              <w:rPr>
                <w:sz w:val="18"/>
                <w:szCs w:val="18"/>
              </w:rPr>
              <w:t>1.0992</w:t>
            </w:r>
          </w:p>
        </w:tc>
        <w:tc>
          <w:tcPr>
            <w:tcW w:w="731" w:type="pct"/>
          </w:tcPr>
          <w:p w:rsidR="0027621A" w:rsidRPr="006D04A5" w:rsidRDefault="0027621A" w:rsidP="006D04A5">
            <w:pPr>
              <w:jc w:val="right"/>
              <w:rPr>
                <w:sz w:val="18"/>
                <w:szCs w:val="18"/>
              </w:rPr>
            </w:pPr>
            <w:r w:rsidRPr="006D04A5">
              <w:rPr>
                <w:sz w:val="18"/>
                <w:szCs w:val="18"/>
              </w:rPr>
              <w:t>0.6735</w:t>
            </w:r>
          </w:p>
        </w:tc>
        <w:tc>
          <w:tcPr>
            <w:tcW w:w="731" w:type="pct"/>
          </w:tcPr>
          <w:p w:rsidR="0027621A" w:rsidRPr="006D04A5" w:rsidRDefault="0027621A" w:rsidP="006D04A5">
            <w:pPr>
              <w:jc w:val="right"/>
              <w:rPr>
                <w:sz w:val="18"/>
                <w:szCs w:val="18"/>
              </w:rPr>
            </w:pPr>
            <w:r w:rsidRPr="006D04A5">
              <w:rPr>
                <w:sz w:val="18"/>
                <w:szCs w:val="18"/>
              </w:rPr>
              <w:t>0.7324</w:t>
            </w:r>
          </w:p>
        </w:tc>
        <w:tc>
          <w:tcPr>
            <w:tcW w:w="731" w:type="pct"/>
          </w:tcPr>
          <w:p w:rsidR="0027621A" w:rsidRPr="006D04A5" w:rsidRDefault="0027621A" w:rsidP="006D04A5">
            <w:pPr>
              <w:jc w:val="right"/>
              <w:rPr>
                <w:sz w:val="18"/>
                <w:szCs w:val="18"/>
              </w:rPr>
            </w:pPr>
            <w:r w:rsidRPr="006D04A5">
              <w:rPr>
                <w:sz w:val="18"/>
                <w:szCs w:val="18"/>
              </w:rPr>
              <w:t>0.9940</w:t>
            </w:r>
          </w:p>
        </w:tc>
        <w:tc>
          <w:tcPr>
            <w:tcW w:w="724" w:type="pct"/>
          </w:tcPr>
          <w:p w:rsidR="0027621A" w:rsidRPr="006D04A5" w:rsidRDefault="0027621A" w:rsidP="006D04A5">
            <w:pPr>
              <w:jc w:val="right"/>
              <w:rPr>
                <w:sz w:val="18"/>
                <w:szCs w:val="18"/>
              </w:rPr>
            </w:pPr>
            <w:r w:rsidRPr="006D04A5">
              <w:rPr>
                <w:sz w:val="18"/>
                <w:szCs w:val="18"/>
              </w:rPr>
              <w:t>1.7628</w:t>
            </w:r>
          </w:p>
        </w:tc>
      </w:tr>
      <w:tr w:rsidR="0027621A" w:rsidRPr="006D04A5">
        <w:tc>
          <w:tcPr>
            <w:tcW w:w="1440" w:type="pct"/>
          </w:tcPr>
          <w:p w:rsidR="0027621A" w:rsidRPr="006D04A5" w:rsidRDefault="0027621A" w:rsidP="006D04A5">
            <w:pPr>
              <w:jc w:val="both"/>
              <w:rPr>
                <w:sz w:val="18"/>
                <w:szCs w:val="18"/>
              </w:rPr>
            </w:pPr>
            <w:r w:rsidRPr="006D04A5">
              <w:rPr>
                <w:sz w:val="18"/>
                <w:szCs w:val="18"/>
              </w:rPr>
              <w:t>Observations</w:t>
            </w:r>
          </w:p>
        </w:tc>
        <w:tc>
          <w:tcPr>
            <w:tcW w:w="643" w:type="pct"/>
          </w:tcPr>
          <w:p w:rsidR="0027621A" w:rsidRPr="006D04A5" w:rsidRDefault="0027621A" w:rsidP="006D04A5">
            <w:pPr>
              <w:jc w:val="right"/>
              <w:rPr>
                <w:sz w:val="18"/>
                <w:szCs w:val="18"/>
              </w:rPr>
            </w:pPr>
            <w:r w:rsidRPr="006D04A5">
              <w:rPr>
                <w:sz w:val="18"/>
                <w:szCs w:val="18"/>
              </w:rPr>
              <w:t>1803</w:t>
            </w:r>
          </w:p>
        </w:tc>
        <w:tc>
          <w:tcPr>
            <w:tcW w:w="731" w:type="pct"/>
          </w:tcPr>
          <w:p w:rsidR="0027621A" w:rsidRPr="006D04A5" w:rsidRDefault="0027621A" w:rsidP="006D04A5">
            <w:pPr>
              <w:jc w:val="right"/>
              <w:rPr>
                <w:sz w:val="18"/>
                <w:szCs w:val="18"/>
              </w:rPr>
            </w:pPr>
            <w:r w:rsidRPr="006D04A5">
              <w:rPr>
                <w:sz w:val="18"/>
                <w:szCs w:val="18"/>
              </w:rPr>
              <w:t>439</w:t>
            </w:r>
          </w:p>
        </w:tc>
        <w:tc>
          <w:tcPr>
            <w:tcW w:w="731" w:type="pct"/>
          </w:tcPr>
          <w:p w:rsidR="0027621A" w:rsidRPr="006D04A5" w:rsidRDefault="0027621A" w:rsidP="006D04A5">
            <w:pPr>
              <w:jc w:val="right"/>
              <w:rPr>
                <w:sz w:val="18"/>
                <w:szCs w:val="18"/>
              </w:rPr>
            </w:pPr>
            <w:r w:rsidRPr="006D04A5">
              <w:rPr>
                <w:sz w:val="18"/>
                <w:szCs w:val="18"/>
              </w:rPr>
              <w:t>484</w:t>
            </w:r>
          </w:p>
        </w:tc>
        <w:tc>
          <w:tcPr>
            <w:tcW w:w="731" w:type="pct"/>
          </w:tcPr>
          <w:p w:rsidR="0027621A" w:rsidRPr="006D04A5" w:rsidRDefault="0027621A" w:rsidP="006D04A5">
            <w:pPr>
              <w:jc w:val="right"/>
              <w:rPr>
                <w:sz w:val="18"/>
                <w:szCs w:val="18"/>
              </w:rPr>
            </w:pPr>
            <w:r w:rsidRPr="006D04A5">
              <w:rPr>
                <w:sz w:val="18"/>
                <w:szCs w:val="18"/>
              </w:rPr>
              <w:t>487</w:t>
            </w:r>
          </w:p>
        </w:tc>
        <w:tc>
          <w:tcPr>
            <w:tcW w:w="724" w:type="pct"/>
          </w:tcPr>
          <w:p w:rsidR="0027621A" w:rsidRPr="006D04A5" w:rsidRDefault="0027621A" w:rsidP="006D04A5">
            <w:pPr>
              <w:jc w:val="right"/>
              <w:rPr>
                <w:sz w:val="18"/>
                <w:szCs w:val="18"/>
              </w:rPr>
            </w:pPr>
            <w:r w:rsidRPr="006D04A5">
              <w:rPr>
                <w:sz w:val="18"/>
                <w:szCs w:val="18"/>
              </w:rPr>
              <w:t>393</w:t>
            </w:r>
          </w:p>
        </w:tc>
      </w:tr>
      <w:tr w:rsidR="0027621A" w:rsidRPr="006D04A5">
        <w:tc>
          <w:tcPr>
            <w:tcW w:w="1440" w:type="pct"/>
          </w:tcPr>
          <w:p w:rsidR="0027621A" w:rsidRPr="006D04A5" w:rsidRDefault="0027621A" w:rsidP="006D04A5">
            <w:pPr>
              <w:jc w:val="both"/>
              <w:rPr>
                <w:sz w:val="18"/>
                <w:szCs w:val="18"/>
              </w:rPr>
            </w:pPr>
            <w:r w:rsidRPr="006D04A5">
              <w:rPr>
                <w:sz w:val="18"/>
                <w:szCs w:val="18"/>
              </w:rPr>
              <w:t>T-Statistic</w:t>
            </w:r>
          </w:p>
        </w:tc>
        <w:tc>
          <w:tcPr>
            <w:tcW w:w="643" w:type="pct"/>
          </w:tcPr>
          <w:p w:rsidR="0027621A" w:rsidRPr="006D04A5" w:rsidRDefault="0027621A" w:rsidP="006D04A5">
            <w:pPr>
              <w:jc w:val="right"/>
              <w:rPr>
                <w:sz w:val="18"/>
                <w:szCs w:val="18"/>
              </w:rPr>
            </w:pPr>
            <w:r w:rsidRPr="006D04A5">
              <w:rPr>
                <w:sz w:val="18"/>
                <w:szCs w:val="18"/>
              </w:rPr>
              <w:t>0.65</w:t>
            </w:r>
          </w:p>
        </w:tc>
        <w:tc>
          <w:tcPr>
            <w:tcW w:w="731" w:type="pct"/>
          </w:tcPr>
          <w:p w:rsidR="0027621A" w:rsidRPr="006D04A5" w:rsidRDefault="0027621A" w:rsidP="006D04A5">
            <w:pPr>
              <w:jc w:val="right"/>
              <w:rPr>
                <w:sz w:val="18"/>
                <w:szCs w:val="18"/>
              </w:rPr>
            </w:pPr>
            <w:r w:rsidRPr="006D04A5">
              <w:rPr>
                <w:sz w:val="18"/>
                <w:szCs w:val="18"/>
              </w:rPr>
              <w:t>-1.65</w:t>
            </w:r>
          </w:p>
        </w:tc>
        <w:tc>
          <w:tcPr>
            <w:tcW w:w="731" w:type="pct"/>
          </w:tcPr>
          <w:p w:rsidR="0027621A" w:rsidRPr="006D04A5" w:rsidRDefault="0027621A" w:rsidP="006D04A5">
            <w:pPr>
              <w:jc w:val="right"/>
              <w:rPr>
                <w:sz w:val="18"/>
                <w:szCs w:val="18"/>
              </w:rPr>
            </w:pPr>
            <w:r w:rsidRPr="006D04A5">
              <w:rPr>
                <w:sz w:val="18"/>
                <w:szCs w:val="18"/>
              </w:rPr>
              <w:t>-0.99</w:t>
            </w:r>
          </w:p>
        </w:tc>
        <w:tc>
          <w:tcPr>
            <w:tcW w:w="731" w:type="pct"/>
          </w:tcPr>
          <w:p w:rsidR="0027621A" w:rsidRPr="006D04A5" w:rsidRDefault="0027621A" w:rsidP="006D04A5">
            <w:pPr>
              <w:jc w:val="right"/>
              <w:rPr>
                <w:sz w:val="18"/>
                <w:szCs w:val="18"/>
              </w:rPr>
            </w:pPr>
            <w:r w:rsidRPr="006D04A5">
              <w:rPr>
                <w:sz w:val="18"/>
                <w:szCs w:val="18"/>
              </w:rPr>
              <w:t>1.35</w:t>
            </w:r>
          </w:p>
        </w:tc>
        <w:tc>
          <w:tcPr>
            <w:tcW w:w="724" w:type="pct"/>
          </w:tcPr>
          <w:p w:rsidR="0027621A" w:rsidRPr="006D04A5" w:rsidRDefault="0027621A" w:rsidP="006D04A5">
            <w:pPr>
              <w:jc w:val="right"/>
              <w:rPr>
                <w:sz w:val="18"/>
                <w:szCs w:val="18"/>
              </w:rPr>
            </w:pPr>
            <w:r w:rsidRPr="006D04A5">
              <w:rPr>
                <w:sz w:val="18"/>
                <w:szCs w:val="18"/>
              </w:rPr>
              <w:t>1.13</w:t>
            </w:r>
          </w:p>
        </w:tc>
      </w:tr>
      <w:tr w:rsidR="0027621A" w:rsidRPr="006D04A5">
        <w:tc>
          <w:tcPr>
            <w:tcW w:w="1440" w:type="pct"/>
          </w:tcPr>
          <w:p w:rsidR="0027621A" w:rsidRPr="006D04A5" w:rsidRDefault="0027621A" w:rsidP="006D04A5">
            <w:pPr>
              <w:jc w:val="center"/>
              <w:rPr>
                <w:sz w:val="18"/>
                <w:szCs w:val="18"/>
              </w:rPr>
            </w:pPr>
            <w:r w:rsidRPr="006D04A5">
              <w:rPr>
                <w:sz w:val="18"/>
                <w:szCs w:val="18"/>
              </w:rPr>
              <w:t>Significance</w:t>
            </w:r>
          </w:p>
        </w:tc>
        <w:tc>
          <w:tcPr>
            <w:tcW w:w="643" w:type="pct"/>
          </w:tcPr>
          <w:p w:rsidR="0027621A" w:rsidRPr="006D04A5" w:rsidRDefault="0027621A" w:rsidP="006D04A5">
            <w:pPr>
              <w:jc w:val="right"/>
              <w:rPr>
                <w:sz w:val="18"/>
                <w:szCs w:val="18"/>
              </w:rPr>
            </w:pPr>
            <w:r w:rsidRPr="006D04A5">
              <w:rPr>
                <w:sz w:val="18"/>
                <w:szCs w:val="18"/>
              </w:rPr>
              <w:t>(0.515)</w:t>
            </w:r>
          </w:p>
        </w:tc>
        <w:tc>
          <w:tcPr>
            <w:tcW w:w="731" w:type="pct"/>
          </w:tcPr>
          <w:p w:rsidR="0027621A" w:rsidRPr="006D04A5" w:rsidRDefault="0027621A" w:rsidP="006D04A5">
            <w:pPr>
              <w:jc w:val="right"/>
              <w:rPr>
                <w:sz w:val="18"/>
                <w:szCs w:val="18"/>
              </w:rPr>
            </w:pPr>
            <w:r w:rsidRPr="006D04A5">
              <w:rPr>
                <w:sz w:val="18"/>
                <w:szCs w:val="18"/>
              </w:rPr>
              <w:t>(0.100)</w:t>
            </w:r>
            <w:r w:rsidRPr="006D04A5">
              <w:rPr>
                <w:sz w:val="18"/>
                <w:szCs w:val="18"/>
                <w:vertAlign w:val="superscript"/>
              </w:rPr>
              <w:t>c</w:t>
            </w:r>
          </w:p>
        </w:tc>
        <w:tc>
          <w:tcPr>
            <w:tcW w:w="731" w:type="pct"/>
          </w:tcPr>
          <w:p w:rsidR="0027621A" w:rsidRPr="006D04A5" w:rsidRDefault="0027621A" w:rsidP="006D04A5">
            <w:pPr>
              <w:jc w:val="right"/>
              <w:rPr>
                <w:sz w:val="18"/>
                <w:szCs w:val="18"/>
              </w:rPr>
            </w:pPr>
            <w:r w:rsidRPr="006D04A5">
              <w:rPr>
                <w:sz w:val="18"/>
                <w:szCs w:val="18"/>
              </w:rPr>
              <w:t>(0.323)</w:t>
            </w:r>
          </w:p>
        </w:tc>
        <w:tc>
          <w:tcPr>
            <w:tcW w:w="731" w:type="pct"/>
          </w:tcPr>
          <w:p w:rsidR="0027621A" w:rsidRPr="006D04A5" w:rsidRDefault="0027621A" w:rsidP="006D04A5">
            <w:pPr>
              <w:jc w:val="right"/>
              <w:rPr>
                <w:sz w:val="18"/>
                <w:szCs w:val="18"/>
              </w:rPr>
            </w:pPr>
            <w:r w:rsidRPr="006D04A5">
              <w:rPr>
                <w:sz w:val="18"/>
                <w:szCs w:val="18"/>
              </w:rPr>
              <w:t>(0.177)</w:t>
            </w:r>
          </w:p>
        </w:tc>
        <w:tc>
          <w:tcPr>
            <w:tcW w:w="724" w:type="pct"/>
          </w:tcPr>
          <w:p w:rsidR="0027621A" w:rsidRPr="006D04A5" w:rsidRDefault="0027621A" w:rsidP="006D04A5">
            <w:pPr>
              <w:jc w:val="right"/>
              <w:rPr>
                <w:sz w:val="18"/>
                <w:szCs w:val="18"/>
              </w:rPr>
            </w:pPr>
            <w:r w:rsidRPr="006D04A5">
              <w:rPr>
                <w:sz w:val="18"/>
                <w:szCs w:val="18"/>
              </w:rPr>
              <w:t>(0.258)</w:t>
            </w:r>
          </w:p>
        </w:tc>
      </w:tr>
      <w:tr w:rsidR="0027621A" w:rsidRPr="006D04A5">
        <w:tc>
          <w:tcPr>
            <w:tcW w:w="1440" w:type="pct"/>
          </w:tcPr>
          <w:p w:rsidR="0027621A" w:rsidRPr="006D04A5" w:rsidRDefault="0027621A" w:rsidP="006D04A5">
            <w:pPr>
              <w:jc w:val="both"/>
              <w:rPr>
                <w:sz w:val="18"/>
                <w:szCs w:val="18"/>
              </w:rPr>
            </w:pPr>
            <w:r w:rsidRPr="006D04A5">
              <w:rPr>
                <w:sz w:val="18"/>
                <w:szCs w:val="18"/>
              </w:rPr>
              <w:t>Mann-Whitney</w:t>
            </w:r>
          </w:p>
        </w:tc>
        <w:tc>
          <w:tcPr>
            <w:tcW w:w="643" w:type="pct"/>
          </w:tcPr>
          <w:p w:rsidR="0027621A" w:rsidRPr="006D04A5" w:rsidRDefault="0027621A" w:rsidP="006D04A5">
            <w:pPr>
              <w:jc w:val="right"/>
              <w:rPr>
                <w:sz w:val="18"/>
                <w:szCs w:val="18"/>
              </w:rPr>
            </w:pPr>
            <w:r w:rsidRPr="006D04A5">
              <w:rPr>
                <w:sz w:val="18"/>
                <w:szCs w:val="18"/>
              </w:rPr>
              <w:t>-0.07</w:t>
            </w:r>
          </w:p>
        </w:tc>
        <w:tc>
          <w:tcPr>
            <w:tcW w:w="731" w:type="pct"/>
          </w:tcPr>
          <w:p w:rsidR="0027621A" w:rsidRPr="006D04A5" w:rsidRDefault="0027621A" w:rsidP="006D04A5">
            <w:pPr>
              <w:jc w:val="right"/>
              <w:rPr>
                <w:sz w:val="18"/>
                <w:szCs w:val="18"/>
              </w:rPr>
            </w:pPr>
            <w:r w:rsidRPr="006D04A5">
              <w:rPr>
                <w:sz w:val="18"/>
                <w:szCs w:val="18"/>
              </w:rPr>
              <w:t>-1.98</w:t>
            </w:r>
          </w:p>
        </w:tc>
        <w:tc>
          <w:tcPr>
            <w:tcW w:w="731" w:type="pct"/>
          </w:tcPr>
          <w:p w:rsidR="0027621A" w:rsidRPr="006D04A5" w:rsidRDefault="0027621A" w:rsidP="006D04A5">
            <w:pPr>
              <w:jc w:val="right"/>
              <w:rPr>
                <w:sz w:val="18"/>
                <w:szCs w:val="18"/>
              </w:rPr>
            </w:pPr>
            <w:r w:rsidRPr="006D04A5">
              <w:rPr>
                <w:sz w:val="18"/>
                <w:szCs w:val="18"/>
              </w:rPr>
              <w:t>-0.32</w:t>
            </w:r>
          </w:p>
        </w:tc>
        <w:tc>
          <w:tcPr>
            <w:tcW w:w="731" w:type="pct"/>
          </w:tcPr>
          <w:p w:rsidR="0027621A" w:rsidRPr="006D04A5" w:rsidRDefault="0027621A" w:rsidP="006D04A5">
            <w:pPr>
              <w:jc w:val="right"/>
              <w:rPr>
                <w:sz w:val="18"/>
                <w:szCs w:val="18"/>
              </w:rPr>
            </w:pPr>
            <w:r w:rsidRPr="006D04A5">
              <w:rPr>
                <w:sz w:val="18"/>
                <w:szCs w:val="18"/>
              </w:rPr>
              <w:t>-0.96</w:t>
            </w:r>
          </w:p>
        </w:tc>
        <w:tc>
          <w:tcPr>
            <w:tcW w:w="724" w:type="pct"/>
          </w:tcPr>
          <w:p w:rsidR="0027621A" w:rsidRPr="006D04A5" w:rsidRDefault="0027621A" w:rsidP="006D04A5">
            <w:pPr>
              <w:jc w:val="right"/>
              <w:rPr>
                <w:sz w:val="18"/>
                <w:szCs w:val="18"/>
              </w:rPr>
            </w:pPr>
            <w:r w:rsidRPr="006D04A5">
              <w:rPr>
                <w:sz w:val="18"/>
                <w:szCs w:val="18"/>
              </w:rPr>
              <w:t>-0.62</w:t>
            </w:r>
          </w:p>
        </w:tc>
      </w:tr>
      <w:tr w:rsidR="0027621A" w:rsidRPr="006D04A5">
        <w:tc>
          <w:tcPr>
            <w:tcW w:w="1440" w:type="pct"/>
            <w:tcBorders>
              <w:bottom w:val="single" w:sz="4" w:space="0" w:color="auto"/>
            </w:tcBorders>
          </w:tcPr>
          <w:p w:rsidR="0027621A" w:rsidRPr="006D04A5" w:rsidRDefault="0027621A" w:rsidP="006D04A5">
            <w:pPr>
              <w:jc w:val="center"/>
              <w:rPr>
                <w:sz w:val="18"/>
                <w:szCs w:val="18"/>
              </w:rPr>
            </w:pPr>
            <w:r w:rsidRPr="006D04A5">
              <w:rPr>
                <w:sz w:val="18"/>
                <w:szCs w:val="18"/>
              </w:rPr>
              <w:t>Significance</w:t>
            </w:r>
          </w:p>
        </w:tc>
        <w:tc>
          <w:tcPr>
            <w:tcW w:w="643" w:type="pct"/>
            <w:tcBorders>
              <w:bottom w:val="single" w:sz="4" w:space="0" w:color="auto"/>
            </w:tcBorders>
          </w:tcPr>
          <w:p w:rsidR="0027621A" w:rsidRPr="006D04A5" w:rsidRDefault="0027621A" w:rsidP="006D04A5">
            <w:pPr>
              <w:jc w:val="right"/>
              <w:rPr>
                <w:sz w:val="18"/>
                <w:szCs w:val="18"/>
              </w:rPr>
            </w:pPr>
            <w:r w:rsidRPr="006D04A5">
              <w:rPr>
                <w:sz w:val="18"/>
                <w:szCs w:val="18"/>
              </w:rPr>
              <w:t>(0.941)</w:t>
            </w:r>
          </w:p>
        </w:tc>
        <w:tc>
          <w:tcPr>
            <w:tcW w:w="731" w:type="pct"/>
            <w:tcBorders>
              <w:bottom w:val="single" w:sz="4" w:space="0" w:color="auto"/>
            </w:tcBorders>
          </w:tcPr>
          <w:p w:rsidR="0027621A" w:rsidRPr="006D04A5" w:rsidRDefault="0027621A" w:rsidP="006D04A5">
            <w:pPr>
              <w:jc w:val="right"/>
              <w:rPr>
                <w:sz w:val="18"/>
                <w:szCs w:val="18"/>
              </w:rPr>
            </w:pPr>
            <w:r w:rsidRPr="006D04A5">
              <w:rPr>
                <w:sz w:val="18"/>
                <w:szCs w:val="18"/>
              </w:rPr>
              <w:t>(0.048)</w:t>
            </w:r>
            <w:r w:rsidRPr="006D04A5">
              <w:rPr>
                <w:sz w:val="18"/>
                <w:szCs w:val="18"/>
                <w:vertAlign w:val="superscript"/>
              </w:rPr>
              <w:t>b</w:t>
            </w:r>
          </w:p>
        </w:tc>
        <w:tc>
          <w:tcPr>
            <w:tcW w:w="731" w:type="pct"/>
            <w:tcBorders>
              <w:bottom w:val="single" w:sz="4" w:space="0" w:color="auto"/>
            </w:tcBorders>
          </w:tcPr>
          <w:p w:rsidR="0027621A" w:rsidRPr="006D04A5" w:rsidRDefault="0027621A" w:rsidP="006D04A5">
            <w:pPr>
              <w:jc w:val="right"/>
              <w:rPr>
                <w:sz w:val="18"/>
                <w:szCs w:val="18"/>
              </w:rPr>
            </w:pPr>
            <w:r w:rsidRPr="006D04A5">
              <w:rPr>
                <w:sz w:val="18"/>
                <w:szCs w:val="18"/>
              </w:rPr>
              <w:t>(0.746)</w:t>
            </w:r>
          </w:p>
        </w:tc>
        <w:tc>
          <w:tcPr>
            <w:tcW w:w="731" w:type="pct"/>
            <w:tcBorders>
              <w:bottom w:val="single" w:sz="4" w:space="0" w:color="auto"/>
            </w:tcBorders>
          </w:tcPr>
          <w:p w:rsidR="0027621A" w:rsidRPr="006D04A5" w:rsidRDefault="0027621A" w:rsidP="006D04A5">
            <w:pPr>
              <w:jc w:val="right"/>
              <w:rPr>
                <w:sz w:val="18"/>
                <w:szCs w:val="18"/>
              </w:rPr>
            </w:pPr>
            <w:r w:rsidRPr="006D04A5">
              <w:rPr>
                <w:sz w:val="18"/>
                <w:szCs w:val="18"/>
              </w:rPr>
              <w:t>(0.339)</w:t>
            </w:r>
          </w:p>
        </w:tc>
        <w:tc>
          <w:tcPr>
            <w:tcW w:w="724" w:type="pct"/>
            <w:tcBorders>
              <w:bottom w:val="single" w:sz="4" w:space="0" w:color="auto"/>
            </w:tcBorders>
          </w:tcPr>
          <w:p w:rsidR="0027621A" w:rsidRPr="006D04A5" w:rsidRDefault="0027621A" w:rsidP="006D04A5">
            <w:pPr>
              <w:jc w:val="right"/>
              <w:rPr>
                <w:sz w:val="18"/>
                <w:szCs w:val="18"/>
              </w:rPr>
            </w:pPr>
            <w:r w:rsidRPr="006D04A5">
              <w:rPr>
                <w:sz w:val="18"/>
                <w:szCs w:val="18"/>
              </w:rPr>
              <w:t>(0.533)</w:t>
            </w:r>
          </w:p>
        </w:tc>
      </w:tr>
      <w:tr w:rsidR="0027621A" w:rsidRPr="006D04A5">
        <w:tc>
          <w:tcPr>
            <w:tcW w:w="5000" w:type="pct"/>
            <w:gridSpan w:val="6"/>
            <w:tcBorders>
              <w:top w:val="single" w:sz="4" w:space="0" w:color="auto"/>
              <w:bottom w:val="single" w:sz="4" w:space="0" w:color="auto"/>
            </w:tcBorders>
          </w:tcPr>
          <w:p w:rsidR="0027621A" w:rsidRPr="006D04A5" w:rsidRDefault="0027621A" w:rsidP="006D04A5">
            <w:pPr>
              <w:jc w:val="both"/>
              <w:rPr>
                <w:sz w:val="18"/>
                <w:szCs w:val="18"/>
              </w:rPr>
            </w:pPr>
            <w:r w:rsidRPr="006D04A5">
              <w:rPr>
                <w:sz w:val="18"/>
                <w:szCs w:val="18"/>
                <w:vertAlign w:val="superscript"/>
              </w:rPr>
              <w:t xml:space="preserve">b </w:t>
            </w:r>
            <w:r w:rsidRPr="006D04A5">
              <w:rPr>
                <w:sz w:val="18"/>
                <w:szCs w:val="18"/>
              </w:rPr>
              <w:t xml:space="preserve">Significant at the 0.05 level; </w:t>
            </w:r>
            <w:r w:rsidRPr="006D04A5">
              <w:rPr>
                <w:sz w:val="18"/>
                <w:szCs w:val="18"/>
                <w:vertAlign w:val="superscript"/>
              </w:rPr>
              <w:t>c</w:t>
            </w:r>
            <w:r w:rsidRPr="006D04A5">
              <w:rPr>
                <w:sz w:val="18"/>
                <w:szCs w:val="18"/>
              </w:rPr>
              <w:t xml:space="preserve"> Significant at the 0.10 level.</w:t>
            </w:r>
          </w:p>
        </w:tc>
      </w:tr>
    </w:tbl>
    <w:p w:rsidR="0027621A" w:rsidRPr="006D04A5" w:rsidRDefault="0027621A" w:rsidP="006D04A5">
      <w:pPr>
        <w:jc w:val="both"/>
        <w:rPr>
          <w:sz w:val="18"/>
          <w:szCs w:val="18"/>
        </w:rPr>
      </w:pPr>
    </w:p>
    <w:p w:rsidR="0027621A" w:rsidRPr="006D04A5" w:rsidRDefault="0027621A" w:rsidP="006D04A5">
      <w:pPr>
        <w:jc w:val="both"/>
        <w:rPr>
          <w:sz w:val="18"/>
          <w:szCs w:val="18"/>
        </w:rPr>
      </w:pPr>
    </w:p>
    <w:p w:rsidR="00A9717F" w:rsidRPr="006D04A5" w:rsidRDefault="00FC2338" w:rsidP="006D04A5">
      <w:pPr>
        <w:ind w:firstLine="720"/>
        <w:jc w:val="both"/>
        <w:rPr>
          <w:sz w:val="20"/>
          <w:szCs w:val="20"/>
        </w:rPr>
      </w:pPr>
      <w:r w:rsidRPr="006D04A5">
        <w:rPr>
          <w:sz w:val="20"/>
          <w:szCs w:val="20"/>
        </w:rPr>
        <w:t xml:space="preserve">When we examine the effect over decades, the results from the NASDAQ index </w:t>
      </w:r>
      <w:r w:rsidR="00153430" w:rsidRPr="006D04A5">
        <w:rPr>
          <w:sz w:val="20"/>
          <w:szCs w:val="20"/>
        </w:rPr>
        <w:t>are</w:t>
      </w:r>
      <w:r w:rsidRPr="006D04A5">
        <w:rPr>
          <w:sz w:val="20"/>
          <w:szCs w:val="20"/>
        </w:rPr>
        <w:t xml:space="preserve"> similar to those of the S&amp;P 500 index.  </w:t>
      </w:r>
      <w:r w:rsidR="00416313" w:rsidRPr="006D04A5">
        <w:rPr>
          <w:sz w:val="20"/>
          <w:szCs w:val="20"/>
        </w:rPr>
        <w:t xml:space="preserve">These results are reported in Table 2.  </w:t>
      </w:r>
      <w:r w:rsidRPr="006D04A5">
        <w:rPr>
          <w:sz w:val="20"/>
          <w:szCs w:val="20"/>
        </w:rPr>
        <w:t>For the NASDAQ index, the returns on Friday th</w:t>
      </w:r>
      <w:r w:rsidR="00153430" w:rsidRPr="006D04A5">
        <w:rPr>
          <w:sz w:val="20"/>
          <w:szCs w:val="20"/>
        </w:rPr>
        <w:t>e thirteenth a</w:t>
      </w:r>
      <w:r w:rsidR="005C09B5" w:rsidRPr="006D04A5">
        <w:rPr>
          <w:sz w:val="20"/>
          <w:szCs w:val="20"/>
        </w:rPr>
        <w:t>re lower than that of</w:t>
      </w:r>
      <w:r w:rsidRPr="006D04A5">
        <w:rPr>
          <w:sz w:val="20"/>
          <w:szCs w:val="20"/>
        </w:rPr>
        <w:t xml:space="preserve"> other Fridays in </w:t>
      </w:r>
      <w:r w:rsidR="005C09B5" w:rsidRPr="006D04A5">
        <w:rPr>
          <w:sz w:val="20"/>
          <w:szCs w:val="20"/>
        </w:rPr>
        <w:t xml:space="preserve">the </w:t>
      </w:r>
      <w:r w:rsidRPr="006D04A5">
        <w:rPr>
          <w:sz w:val="20"/>
          <w:szCs w:val="20"/>
        </w:rPr>
        <w:t xml:space="preserve">1970-79 and 1980-89 sub-periods.  Conversely, </w:t>
      </w:r>
      <w:r w:rsidR="00A9717F" w:rsidRPr="006D04A5">
        <w:rPr>
          <w:sz w:val="20"/>
          <w:szCs w:val="20"/>
        </w:rPr>
        <w:t xml:space="preserve">Friday the </w:t>
      </w:r>
      <w:r w:rsidR="00A64823" w:rsidRPr="006D04A5">
        <w:rPr>
          <w:sz w:val="20"/>
          <w:szCs w:val="20"/>
        </w:rPr>
        <w:t>thirteenth</w:t>
      </w:r>
      <w:r w:rsidR="0050460F" w:rsidRPr="006D04A5">
        <w:rPr>
          <w:sz w:val="20"/>
          <w:szCs w:val="20"/>
        </w:rPr>
        <w:t xml:space="preserve"> </w:t>
      </w:r>
      <w:r w:rsidR="00153430" w:rsidRPr="006D04A5">
        <w:rPr>
          <w:sz w:val="20"/>
          <w:szCs w:val="20"/>
        </w:rPr>
        <w:t>returns a</w:t>
      </w:r>
      <w:r w:rsidR="00A9717F" w:rsidRPr="006D04A5">
        <w:rPr>
          <w:sz w:val="20"/>
          <w:szCs w:val="20"/>
        </w:rPr>
        <w:t>re higher than returns of other Fridays in the later two sub</w:t>
      </w:r>
      <w:r w:rsidR="001F7201" w:rsidRPr="006D04A5">
        <w:rPr>
          <w:sz w:val="20"/>
          <w:szCs w:val="20"/>
        </w:rPr>
        <w:t>-periods, 1990-99 and 2000-07.</w:t>
      </w:r>
      <w:r w:rsidRPr="006D04A5">
        <w:rPr>
          <w:sz w:val="20"/>
          <w:szCs w:val="20"/>
        </w:rPr>
        <w:t xml:space="preserve">  Again, only in 1970-79 decade, Friday the thirteenth returns </w:t>
      </w:r>
      <w:r w:rsidR="00153430" w:rsidRPr="006D04A5">
        <w:rPr>
          <w:sz w:val="20"/>
          <w:szCs w:val="20"/>
        </w:rPr>
        <w:t>are</w:t>
      </w:r>
      <w:r w:rsidRPr="006D04A5">
        <w:rPr>
          <w:sz w:val="20"/>
          <w:szCs w:val="20"/>
        </w:rPr>
        <w:t xml:space="preserve"> significantly lower than the returns of other Fridays.</w:t>
      </w:r>
      <w:r w:rsidR="00153430" w:rsidRPr="006D04A5">
        <w:rPr>
          <w:sz w:val="20"/>
          <w:szCs w:val="20"/>
        </w:rPr>
        <w:t xml:space="preserve">  We therefore conclude that Friday the thirteenth is not prevalent in the NASDAQ index.</w:t>
      </w:r>
      <w:r w:rsidRPr="006D04A5">
        <w:rPr>
          <w:sz w:val="20"/>
          <w:szCs w:val="20"/>
        </w:rPr>
        <w:t xml:space="preserve"> </w:t>
      </w:r>
    </w:p>
    <w:p w:rsidR="002B6DCE" w:rsidRDefault="002B6DCE" w:rsidP="006D04A5">
      <w:pPr>
        <w:jc w:val="both"/>
        <w:rPr>
          <w:sz w:val="20"/>
          <w:szCs w:val="20"/>
        </w:rPr>
      </w:pPr>
    </w:p>
    <w:p w:rsidR="006D04A5" w:rsidRDefault="006D04A5" w:rsidP="006D04A5">
      <w:pPr>
        <w:jc w:val="both"/>
        <w:rPr>
          <w:sz w:val="20"/>
          <w:szCs w:val="20"/>
        </w:rPr>
      </w:pPr>
    </w:p>
    <w:p w:rsidR="006D04A5" w:rsidRDefault="006D04A5" w:rsidP="006D04A5">
      <w:pPr>
        <w:jc w:val="both"/>
        <w:rPr>
          <w:sz w:val="20"/>
          <w:szCs w:val="20"/>
        </w:rPr>
      </w:pPr>
    </w:p>
    <w:p w:rsidR="001F7201" w:rsidRPr="006D04A5" w:rsidRDefault="001F7201" w:rsidP="006D04A5">
      <w:pPr>
        <w:jc w:val="both"/>
        <w:rPr>
          <w:b/>
          <w:sz w:val="20"/>
          <w:szCs w:val="20"/>
        </w:rPr>
      </w:pPr>
      <w:r w:rsidRPr="006D04A5">
        <w:rPr>
          <w:b/>
          <w:caps/>
          <w:sz w:val="20"/>
          <w:szCs w:val="20"/>
        </w:rPr>
        <w:lastRenderedPageBreak/>
        <w:t>Conclusion</w:t>
      </w:r>
    </w:p>
    <w:p w:rsidR="001F7201" w:rsidRPr="006D04A5" w:rsidRDefault="001F7201" w:rsidP="006D04A5">
      <w:pPr>
        <w:jc w:val="both"/>
        <w:rPr>
          <w:sz w:val="20"/>
          <w:szCs w:val="20"/>
        </w:rPr>
      </w:pPr>
    </w:p>
    <w:p w:rsidR="000F6F25" w:rsidRPr="006D04A5" w:rsidRDefault="00641D38" w:rsidP="006D04A5">
      <w:pPr>
        <w:ind w:firstLine="720"/>
        <w:jc w:val="both"/>
        <w:rPr>
          <w:sz w:val="20"/>
          <w:szCs w:val="20"/>
        </w:rPr>
      </w:pPr>
      <w:r w:rsidRPr="006D04A5">
        <w:rPr>
          <w:sz w:val="20"/>
          <w:szCs w:val="20"/>
        </w:rPr>
        <w:t xml:space="preserve">We reexamined Friday the </w:t>
      </w:r>
      <w:r w:rsidR="00A64823" w:rsidRPr="006D04A5">
        <w:rPr>
          <w:sz w:val="20"/>
          <w:szCs w:val="20"/>
        </w:rPr>
        <w:t>thirteenth</w:t>
      </w:r>
      <w:r w:rsidRPr="006D04A5">
        <w:rPr>
          <w:sz w:val="20"/>
          <w:szCs w:val="20"/>
        </w:rPr>
        <w:t xml:space="preserve"> </w:t>
      </w:r>
      <w:r w:rsidR="001F7201" w:rsidRPr="006D04A5">
        <w:rPr>
          <w:sz w:val="20"/>
          <w:szCs w:val="20"/>
        </w:rPr>
        <w:t xml:space="preserve">effect in </w:t>
      </w:r>
      <w:r w:rsidR="00FC2338" w:rsidRPr="006D04A5">
        <w:rPr>
          <w:sz w:val="20"/>
          <w:szCs w:val="20"/>
        </w:rPr>
        <w:t xml:space="preserve">two </w:t>
      </w:r>
      <w:r w:rsidRPr="006D04A5">
        <w:rPr>
          <w:sz w:val="20"/>
          <w:szCs w:val="20"/>
        </w:rPr>
        <w:t xml:space="preserve">representative </w:t>
      </w:r>
      <w:r w:rsidR="001F7201" w:rsidRPr="006D04A5">
        <w:rPr>
          <w:sz w:val="20"/>
          <w:szCs w:val="20"/>
        </w:rPr>
        <w:t xml:space="preserve">U.S. stock market </w:t>
      </w:r>
      <w:r w:rsidRPr="006D04A5">
        <w:rPr>
          <w:sz w:val="20"/>
          <w:szCs w:val="20"/>
        </w:rPr>
        <w:t>indices</w:t>
      </w:r>
      <w:r w:rsidR="00FC2338" w:rsidRPr="006D04A5">
        <w:rPr>
          <w:sz w:val="20"/>
          <w:szCs w:val="20"/>
        </w:rPr>
        <w:t xml:space="preserve">, namely the S&amp;P 500 index and the NASDAQ index </w:t>
      </w:r>
      <w:r w:rsidRPr="006D04A5">
        <w:rPr>
          <w:sz w:val="20"/>
          <w:szCs w:val="20"/>
        </w:rPr>
        <w:t xml:space="preserve">that include </w:t>
      </w:r>
      <w:r w:rsidR="002743C5" w:rsidRPr="006D04A5">
        <w:rPr>
          <w:sz w:val="20"/>
          <w:szCs w:val="20"/>
        </w:rPr>
        <w:t xml:space="preserve">a </w:t>
      </w:r>
      <w:r w:rsidRPr="006D04A5">
        <w:rPr>
          <w:sz w:val="20"/>
          <w:szCs w:val="20"/>
        </w:rPr>
        <w:t>recent time period</w:t>
      </w:r>
      <w:r w:rsidR="001F7201" w:rsidRPr="006D04A5">
        <w:rPr>
          <w:sz w:val="20"/>
          <w:szCs w:val="20"/>
        </w:rPr>
        <w:t xml:space="preserve">.  </w:t>
      </w:r>
      <w:r w:rsidR="00A05E6F" w:rsidRPr="006D04A5">
        <w:rPr>
          <w:sz w:val="20"/>
          <w:szCs w:val="20"/>
        </w:rPr>
        <w:t xml:space="preserve">Our results are consistent with earlier findings that Friday the thirteenth effect was only documented in the </w:t>
      </w:r>
      <w:r w:rsidR="002743C5" w:rsidRPr="006D04A5">
        <w:rPr>
          <w:sz w:val="20"/>
          <w:szCs w:val="20"/>
        </w:rPr>
        <w:t>70’s</w:t>
      </w:r>
      <w:r w:rsidR="00BC6C49" w:rsidRPr="006D04A5">
        <w:rPr>
          <w:sz w:val="20"/>
          <w:szCs w:val="20"/>
        </w:rPr>
        <w:t xml:space="preserve">.  In fact, we find that </w:t>
      </w:r>
      <w:r w:rsidR="00A05E6F" w:rsidRPr="006D04A5">
        <w:rPr>
          <w:sz w:val="20"/>
          <w:szCs w:val="20"/>
        </w:rPr>
        <w:t>Friday the thirteenth returns are actually higher than that of other Fridays</w:t>
      </w:r>
      <w:r w:rsidR="00BC6C49" w:rsidRPr="006D04A5">
        <w:rPr>
          <w:sz w:val="20"/>
          <w:szCs w:val="20"/>
        </w:rPr>
        <w:t xml:space="preserve"> in recent years</w:t>
      </w:r>
      <w:r w:rsidR="00A05E6F" w:rsidRPr="006D04A5">
        <w:rPr>
          <w:sz w:val="20"/>
          <w:szCs w:val="20"/>
        </w:rPr>
        <w:t>.</w:t>
      </w:r>
      <w:r w:rsidR="00BC6C49" w:rsidRPr="006D04A5">
        <w:rPr>
          <w:sz w:val="20"/>
          <w:szCs w:val="20"/>
        </w:rPr>
        <w:t xml:space="preserve">  </w:t>
      </w:r>
      <w:r w:rsidR="001F7201" w:rsidRPr="006D04A5">
        <w:rPr>
          <w:sz w:val="20"/>
          <w:szCs w:val="20"/>
        </w:rPr>
        <w:t xml:space="preserve">Our results reinforce the conclusion </w:t>
      </w:r>
      <w:r w:rsidR="00FC2338" w:rsidRPr="006D04A5">
        <w:rPr>
          <w:sz w:val="20"/>
          <w:szCs w:val="20"/>
        </w:rPr>
        <w:t xml:space="preserve">of </w:t>
      </w:r>
      <w:r w:rsidR="00A2489B" w:rsidRPr="006D04A5">
        <w:rPr>
          <w:sz w:val="20"/>
          <w:szCs w:val="20"/>
        </w:rPr>
        <w:t xml:space="preserve">Dyl and Maberly (1988) and Chamberlain, Cheung and Kwan (1991) </w:t>
      </w:r>
      <w:r w:rsidR="00B26F7E" w:rsidRPr="006D04A5">
        <w:rPr>
          <w:sz w:val="20"/>
          <w:szCs w:val="20"/>
        </w:rPr>
        <w:t>that U.S. stock</w:t>
      </w:r>
      <w:r w:rsidR="001F7201" w:rsidRPr="006D04A5">
        <w:rPr>
          <w:sz w:val="20"/>
          <w:szCs w:val="20"/>
        </w:rPr>
        <w:t xml:space="preserve"> ma</w:t>
      </w:r>
      <w:r w:rsidR="00002C25" w:rsidRPr="006D04A5">
        <w:rPr>
          <w:sz w:val="20"/>
          <w:szCs w:val="20"/>
        </w:rPr>
        <w:t xml:space="preserve">rket does </w:t>
      </w:r>
      <w:r w:rsidR="00EE44D6" w:rsidRPr="006D04A5">
        <w:rPr>
          <w:sz w:val="20"/>
          <w:szCs w:val="20"/>
        </w:rPr>
        <w:t xml:space="preserve">not </w:t>
      </w:r>
      <w:r w:rsidR="000F6F25" w:rsidRPr="006D04A5">
        <w:rPr>
          <w:sz w:val="20"/>
          <w:szCs w:val="20"/>
        </w:rPr>
        <w:t xml:space="preserve">demonstrate </w:t>
      </w:r>
      <w:r w:rsidR="00002C25" w:rsidRPr="006D04A5">
        <w:rPr>
          <w:sz w:val="20"/>
          <w:szCs w:val="20"/>
        </w:rPr>
        <w:t xml:space="preserve">Friday the </w:t>
      </w:r>
      <w:r w:rsidR="00A64823" w:rsidRPr="006D04A5">
        <w:rPr>
          <w:sz w:val="20"/>
          <w:szCs w:val="20"/>
        </w:rPr>
        <w:t>thirteenth</w:t>
      </w:r>
      <w:r w:rsidR="00002C25" w:rsidRPr="006D04A5">
        <w:rPr>
          <w:sz w:val="20"/>
          <w:szCs w:val="20"/>
        </w:rPr>
        <w:t xml:space="preserve"> </w:t>
      </w:r>
      <w:r w:rsidR="001F7201" w:rsidRPr="006D04A5">
        <w:rPr>
          <w:sz w:val="20"/>
          <w:szCs w:val="20"/>
        </w:rPr>
        <w:t>effect.</w:t>
      </w:r>
    </w:p>
    <w:p w:rsidR="007A052F" w:rsidRPr="006D04A5" w:rsidRDefault="007A052F" w:rsidP="006D04A5">
      <w:pPr>
        <w:jc w:val="both"/>
        <w:rPr>
          <w:sz w:val="20"/>
          <w:szCs w:val="20"/>
        </w:rPr>
      </w:pPr>
    </w:p>
    <w:p w:rsidR="00CB76C6" w:rsidRPr="006D04A5" w:rsidRDefault="00CB76C6" w:rsidP="006D04A5">
      <w:pPr>
        <w:jc w:val="both"/>
        <w:rPr>
          <w:b/>
          <w:caps/>
          <w:sz w:val="20"/>
          <w:szCs w:val="20"/>
        </w:rPr>
      </w:pPr>
      <w:r w:rsidRPr="006D04A5">
        <w:rPr>
          <w:b/>
          <w:caps/>
          <w:sz w:val="20"/>
          <w:szCs w:val="20"/>
        </w:rPr>
        <w:t>References</w:t>
      </w:r>
    </w:p>
    <w:p w:rsidR="00CB76C6" w:rsidRPr="006D04A5" w:rsidRDefault="00CB76C6" w:rsidP="006D04A5">
      <w:pPr>
        <w:jc w:val="both"/>
        <w:rPr>
          <w:sz w:val="20"/>
          <w:szCs w:val="20"/>
        </w:rPr>
      </w:pPr>
    </w:p>
    <w:p w:rsidR="00CB76C6" w:rsidRPr="006D04A5" w:rsidRDefault="00CB76C6" w:rsidP="006D04A5">
      <w:pPr>
        <w:pStyle w:val="ListParagraph"/>
        <w:numPr>
          <w:ilvl w:val="0"/>
          <w:numId w:val="1"/>
        </w:numPr>
        <w:ind w:hanging="720"/>
        <w:rPr>
          <w:sz w:val="20"/>
          <w:szCs w:val="20"/>
        </w:rPr>
      </w:pPr>
      <w:r w:rsidRPr="006D04A5">
        <w:rPr>
          <w:sz w:val="20"/>
          <w:szCs w:val="20"/>
        </w:rPr>
        <w:t xml:space="preserve">Trevor W. Chamberlain, C. Sherman Cheung and Clarence C. Y. Kwan, “The Friday the Thirteenth Effect: Myth or Reality?” </w:t>
      </w:r>
      <w:r w:rsidRPr="006D04A5">
        <w:rPr>
          <w:i/>
          <w:sz w:val="20"/>
          <w:szCs w:val="20"/>
        </w:rPr>
        <w:t>Quarterly Journal of Business and Economics</w:t>
      </w:r>
      <w:r w:rsidRPr="006D04A5">
        <w:rPr>
          <w:sz w:val="20"/>
          <w:szCs w:val="20"/>
        </w:rPr>
        <w:t>, pp. 111-117, 1991.</w:t>
      </w:r>
    </w:p>
    <w:p w:rsidR="00CB76C6" w:rsidRPr="006D04A5" w:rsidRDefault="00CB76C6" w:rsidP="006D04A5">
      <w:pPr>
        <w:pStyle w:val="ListParagraph"/>
        <w:numPr>
          <w:ilvl w:val="0"/>
          <w:numId w:val="1"/>
        </w:numPr>
        <w:ind w:hanging="720"/>
        <w:rPr>
          <w:sz w:val="20"/>
          <w:szCs w:val="20"/>
        </w:rPr>
      </w:pPr>
      <w:r w:rsidRPr="006D04A5">
        <w:rPr>
          <w:sz w:val="20"/>
          <w:szCs w:val="20"/>
        </w:rPr>
        <w:t xml:space="preserve">Andrew Coutts, “Friday the Thirteenth and the Financial Times Industry Ordinary Shares Index 1935-94,” </w:t>
      </w:r>
      <w:r w:rsidRPr="006D04A5">
        <w:rPr>
          <w:i/>
          <w:sz w:val="20"/>
          <w:szCs w:val="20"/>
        </w:rPr>
        <w:t>Applied Economics Letters</w:t>
      </w:r>
      <w:r w:rsidRPr="006D04A5">
        <w:rPr>
          <w:sz w:val="20"/>
          <w:szCs w:val="20"/>
        </w:rPr>
        <w:t>, Volume 6, pp. 35-37, 1999.</w:t>
      </w:r>
    </w:p>
    <w:p w:rsidR="00CB76C6" w:rsidRPr="006D04A5" w:rsidRDefault="00CB76C6" w:rsidP="006D04A5">
      <w:pPr>
        <w:pStyle w:val="ListParagraph"/>
        <w:numPr>
          <w:ilvl w:val="0"/>
          <w:numId w:val="1"/>
        </w:numPr>
        <w:ind w:hanging="720"/>
        <w:rPr>
          <w:sz w:val="20"/>
          <w:szCs w:val="20"/>
        </w:rPr>
      </w:pPr>
      <w:r w:rsidRPr="006D04A5">
        <w:rPr>
          <w:sz w:val="20"/>
          <w:szCs w:val="20"/>
        </w:rPr>
        <w:t xml:space="preserve">Edward A. Dyl and Edwin D. Maberly, “The Anomaly That Isn’t There: A Comment on Friday the Thirteenth, </w:t>
      </w:r>
      <w:r w:rsidRPr="006D04A5">
        <w:rPr>
          <w:i/>
          <w:sz w:val="20"/>
          <w:szCs w:val="20"/>
        </w:rPr>
        <w:t>The Journal of Finance</w:t>
      </w:r>
      <w:r w:rsidRPr="006D04A5">
        <w:rPr>
          <w:sz w:val="20"/>
          <w:szCs w:val="20"/>
        </w:rPr>
        <w:t>, Volume XLIII, Number 5, pp. 1285-1286, December 1988.</w:t>
      </w:r>
    </w:p>
    <w:p w:rsidR="00CB76C6" w:rsidRPr="006D04A5" w:rsidRDefault="00CB76C6" w:rsidP="006D04A5">
      <w:pPr>
        <w:pStyle w:val="ListParagraph"/>
        <w:numPr>
          <w:ilvl w:val="0"/>
          <w:numId w:val="1"/>
        </w:numPr>
        <w:ind w:hanging="720"/>
        <w:rPr>
          <w:sz w:val="20"/>
          <w:szCs w:val="20"/>
        </w:rPr>
      </w:pPr>
      <w:r w:rsidRPr="006D04A5">
        <w:rPr>
          <w:sz w:val="20"/>
          <w:szCs w:val="20"/>
        </w:rPr>
        <w:t xml:space="preserve">Robert W. Kolb and Ricardo J. Rodriguez, “Friday the Thirteenth: Part VII – A Note,” </w:t>
      </w:r>
      <w:r w:rsidRPr="006D04A5">
        <w:rPr>
          <w:i/>
          <w:sz w:val="20"/>
          <w:szCs w:val="20"/>
        </w:rPr>
        <w:t>The Journal of Finance</w:t>
      </w:r>
      <w:r w:rsidRPr="006D04A5">
        <w:rPr>
          <w:sz w:val="20"/>
          <w:szCs w:val="20"/>
        </w:rPr>
        <w:t>, Volume XLII, Number 5, pp. 1385-1387, December 1987.</w:t>
      </w:r>
    </w:p>
    <w:p w:rsidR="00684010" w:rsidRPr="006D04A5" w:rsidRDefault="004657D8" w:rsidP="006D04A5">
      <w:pPr>
        <w:pStyle w:val="ListParagraph"/>
        <w:numPr>
          <w:ilvl w:val="0"/>
          <w:numId w:val="1"/>
        </w:numPr>
        <w:ind w:hanging="720"/>
        <w:rPr>
          <w:sz w:val="20"/>
          <w:szCs w:val="20"/>
        </w:rPr>
      </w:pPr>
      <w:r w:rsidRPr="006D04A5">
        <w:rPr>
          <w:sz w:val="20"/>
          <w:szCs w:val="20"/>
        </w:rPr>
        <w:t xml:space="preserve">Brian M. Lucey, “Friday the 13th: </w:t>
      </w:r>
      <w:r w:rsidR="00CB76C6" w:rsidRPr="006D04A5">
        <w:rPr>
          <w:sz w:val="20"/>
          <w:szCs w:val="20"/>
        </w:rPr>
        <w:t xml:space="preserve">International Evidence,” </w:t>
      </w:r>
      <w:r w:rsidR="00CB76C6" w:rsidRPr="006D04A5">
        <w:rPr>
          <w:i/>
          <w:sz w:val="20"/>
          <w:szCs w:val="20"/>
        </w:rPr>
        <w:t>Applied Economics Letters</w:t>
      </w:r>
      <w:r w:rsidR="00CB76C6" w:rsidRPr="006D04A5">
        <w:rPr>
          <w:sz w:val="20"/>
          <w:szCs w:val="20"/>
        </w:rPr>
        <w:t>, Volume 8, pp. 577-579, 2001.</w:t>
      </w:r>
    </w:p>
    <w:p w:rsidR="00684010" w:rsidRPr="006D04A5" w:rsidRDefault="00CB76C6" w:rsidP="006D04A5">
      <w:pPr>
        <w:pStyle w:val="ListParagraph"/>
        <w:numPr>
          <w:ilvl w:val="0"/>
          <w:numId w:val="1"/>
        </w:numPr>
        <w:ind w:hanging="720"/>
        <w:rPr>
          <w:sz w:val="20"/>
          <w:szCs w:val="20"/>
        </w:rPr>
      </w:pPr>
      <w:r w:rsidRPr="006D04A5">
        <w:rPr>
          <w:sz w:val="20"/>
          <w:szCs w:val="20"/>
        </w:rPr>
        <w:t>Yahoo Website, finance.</w:t>
      </w:r>
      <w:r w:rsidRPr="006D04A5">
        <w:rPr>
          <w:sz w:val="20"/>
          <w:szCs w:val="20"/>
          <w:u w:val="single"/>
        </w:rPr>
        <w:t>yahoo.com</w:t>
      </w:r>
      <w:r w:rsidRPr="006D04A5">
        <w:rPr>
          <w:sz w:val="20"/>
          <w:szCs w:val="20"/>
        </w:rPr>
        <w:t>, March 2008.</w:t>
      </w:r>
    </w:p>
    <w:sectPr w:rsidR="00684010" w:rsidRPr="006D04A5" w:rsidSect="006D04A5">
      <w:headerReference w:type="default" r:id="rId7"/>
      <w:footerReference w:type="default" r:id="rId8"/>
      <w:type w:val="continuous"/>
      <w:pgSz w:w="12240" w:h="15840" w:code="1"/>
      <w:pgMar w:top="1872" w:right="1440" w:bottom="1440" w:left="1440" w:header="1440" w:footer="1152"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B7" w:rsidRDefault="00093CB7" w:rsidP="006D04A5">
      <w:r>
        <w:separator/>
      </w:r>
    </w:p>
  </w:endnote>
  <w:endnote w:type="continuationSeparator" w:id="1">
    <w:p w:rsidR="00093CB7" w:rsidRDefault="00093CB7" w:rsidP="006D0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924"/>
      <w:docPartObj>
        <w:docPartGallery w:val="Page Numbers (Bottom of Page)"/>
        <w:docPartUnique/>
      </w:docPartObj>
    </w:sdtPr>
    <w:sdtContent>
      <w:p w:rsidR="006D04A5" w:rsidRDefault="006031C2" w:rsidP="006D04A5">
        <w:pPr>
          <w:pStyle w:val="Footer"/>
          <w:jc w:val="center"/>
        </w:pPr>
        <w:r w:rsidRPr="006D04A5">
          <w:rPr>
            <w:sz w:val="20"/>
          </w:rPr>
          <w:fldChar w:fldCharType="begin"/>
        </w:r>
        <w:r w:rsidR="006D04A5" w:rsidRPr="006D04A5">
          <w:rPr>
            <w:sz w:val="20"/>
          </w:rPr>
          <w:instrText xml:space="preserve"> PAGE   \* MERGEFORMAT </w:instrText>
        </w:r>
        <w:r w:rsidRPr="006D04A5">
          <w:rPr>
            <w:sz w:val="20"/>
          </w:rPr>
          <w:fldChar w:fldCharType="separate"/>
        </w:r>
        <w:r w:rsidR="00EB3F35">
          <w:rPr>
            <w:noProof/>
            <w:sz w:val="20"/>
          </w:rPr>
          <w:t>58</w:t>
        </w:r>
        <w:r w:rsidRPr="006D04A5">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B7" w:rsidRDefault="00093CB7" w:rsidP="006D04A5">
      <w:r>
        <w:separator/>
      </w:r>
    </w:p>
  </w:footnote>
  <w:footnote w:type="continuationSeparator" w:id="1">
    <w:p w:rsidR="00093CB7" w:rsidRDefault="00093CB7" w:rsidP="006D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A5" w:rsidRPr="006D04A5" w:rsidRDefault="006D04A5" w:rsidP="006D04A5">
    <w:pPr>
      <w:pStyle w:val="Header"/>
      <w:jc w:val="center"/>
      <w:rPr>
        <w:b/>
        <w:i/>
        <w:sz w:val="20"/>
        <w:u w:val="single"/>
      </w:rPr>
    </w:pPr>
    <w:r w:rsidRPr="002201A2">
      <w:rPr>
        <w:b/>
        <w:i/>
        <w:sz w:val="20"/>
        <w:u w:val="single"/>
      </w:rPr>
      <w:t>Journal of Business &amp; Economics Research – March, 2009</w:t>
    </w:r>
    <w:r w:rsidRPr="002201A2">
      <w:rPr>
        <w:b/>
        <w:i/>
        <w:sz w:val="20"/>
        <w:u w:val="single"/>
      </w:rPr>
      <w:tab/>
      <w:t>Volume 7, Number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3854"/>
    <w:multiLevelType w:val="hybridMultilevel"/>
    <w:tmpl w:val="6292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74D52"/>
    <w:rsid w:val="00002C25"/>
    <w:rsid w:val="00004423"/>
    <w:rsid w:val="000150C2"/>
    <w:rsid w:val="000316D2"/>
    <w:rsid w:val="00036372"/>
    <w:rsid w:val="00076EAC"/>
    <w:rsid w:val="00093CB7"/>
    <w:rsid w:val="000C10B5"/>
    <w:rsid w:val="000C7B19"/>
    <w:rsid w:val="000D2026"/>
    <w:rsid w:val="000E01CE"/>
    <w:rsid w:val="000E0498"/>
    <w:rsid w:val="000E0E2D"/>
    <w:rsid w:val="000E2B0F"/>
    <w:rsid w:val="000F6F25"/>
    <w:rsid w:val="001066D4"/>
    <w:rsid w:val="00127D04"/>
    <w:rsid w:val="00131158"/>
    <w:rsid w:val="00131233"/>
    <w:rsid w:val="00153430"/>
    <w:rsid w:val="00156F9B"/>
    <w:rsid w:val="00160BC3"/>
    <w:rsid w:val="0019701B"/>
    <w:rsid w:val="001B6CD2"/>
    <w:rsid w:val="001C7D2A"/>
    <w:rsid w:val="001D484F"/>
    <w:rsid w:val="001F7201"/>
    <w:rsid w:val="002019B9"/>
    <w:rsid w:val="00202EC9"/>
    <w:rsid w:val="00202FED"/>
    <w:rsid w:val="0021059E"/>
    <w:rsid w:val="00236040"/>
    <w:rsid w:val="00247A65"/>
    <w:rsid w:val="00273CDC"/>
    <w:rsid w:val="002743C5"/>
    <w:rsid w:val="0027621A"/>
    <w:rsid w:val="002B6DCE"/>
    <w:rsid w:val="002C2698"/>
    <w:rsid w:val="003078DA"/>
    <w:rsid w:val="0031081B"/>
    <w:rsid w:val="0036781D"/>
    <w:rsid w:val="00370D8D"/>
    <w:rsid w:val="0037661C"/>
    <w:rsid w:val="003918D9"/>
    <w:rsid w:val="00392A0C"/>
    <w:rsid w:val="00396206"/>
    <w:rsid w:val="003C4189"/>
    <w:rsid w:val="004130AB"/>
    <w:rsid w:val="00415659"/>
    <w:rsid w:val="00416313"/>
    <w:rsid w:val="0043225D"/>
    <w:rsid w:val="004337D4"/>
    <w:rsid w:val="00436872"/>
    <w:rsid w:val="00453382"/>
    <w:rsid w:val="00453D09"/>
    <w:rsid w:val="004657D8"/>
    <w:rsid w:val="00474D52"/>
    <w:rsid w:val="004A1E3F"/>
    <w:rsid w:val="004A58ED"/>
    <w:rsid w:val="004A6239"/>
    <w:rsid w:val="004C139C"/>
    <w:rsid w:val="004F74BF"/>
    <w:rsid w:val="00502FA5"/>
    <w:rsid w:val="0050460F"/>
    <w:rsid w:val="00506D88"/>
    <w:rsid w:val="00537961"/>
    <w:rsid w:val="00540740"/>
    <w:rsid w:val="00541C5A"/>
    <w:rsid w:val="00547E4A"/>
    <w:rsid w:val="00550915"/>
    <w:rsid w:val="0055478C"/>
    <w:rsid w:val="00563DE6"/>
    <w:rsid w:val="0056795F"/>
    <w:rsid w:val="005B33A3"/>
    <w:rsid w:val="005C09B5"/>
    <w:rsid w:val="005C4685"/>
    <w:rsid w:val="005D6212"/>
    <w:rsid w:val="005E2EC6"/>
    <w:rsid w:val="006031C2"/>
    <w:rsid w:val="00620DAD"/>
    <w:rsid w:val="00632D59"/>
    <w:rsid w:val="00641D38"/>
    <w:rsid w:val="006641C8"/>
    <w:rsid w:val="00684010"/>
    <w:rsid w:val="00692DD8"/>
    <w:rsid w:val="006A0700"/>
    <w:rsid w:val="006C247E"/>
    <w:rsid w:val="006D04A5"/>
    <w:rsid w:val="006D2515"/>
    <w:rsid w:val="006D5765"/>
    <w:rsid w:val="006D68E2"/>
    <w:rsid w:val="006E2061"/>
    <w:rsid w:val="006F0A1F"/>
    <w:rsid w:val="00735C5C"/>
    <w:rsid w:val="00751945"/>
    <w:rsid w:val="00761F4C"/>
    <w:rsid w:val="00767196"/>
    <w:rsid w:val="00771E41"/>
    <w:rsid w:val="00773800"/>
    <w:rsid w:val="0077621F"/>
    <w:rsid w:val="0079041A"/>
    <w:rsid w:val="007A052F"/>
    <w:rsid w:val="007C0BC9"/>
    <w:rsid w:val="007C63C3"/>
    <w:rsid w:val="007D7956"/>
    <w:rsid w:val="007E1A40"/>
    <w:rsid w:val="007E4447"/>
    <w:rsid w:val="007F3B63"/>
    <w:rsid w:val="008073BE"/>
    <w:rsid w:val="008159AC"/>
    <w:rsid w:val="00815E2E"/>
    <w:rsid w:val="00824E9E"/>
    <w:rsid w:val="008317A2"/>
    <w:rsid w:val="00853185"/>
    <w:rsid w:val="008D577E"/>
    <w:rsid w:val="008E6D24"/>
    <w:rsid w:val="008F6F43"/>
    <w:rsid w:val="00927195"/>
    <w:rsid w:val="0093149F"/>
    <w:rsid w:val="009350F5"/>
    <w:rsid w:val="00946802"/>
    <w:rsid w:val="009618B2"/>
    <w:rsid w:val="00962DD1"/>
    <w:rsid w:val="009978EB"/>
    <w:rsid w:val="009C42A6"/>
    <w:rsid w:val="009D1DB4"/>
    <w:rsid w:val="009F4CBB"/>
    <w:rsid w:val="00A0247B"/>
    <w:rsid w:val="00A059A7"/>
    <w:rsid w:val="00A05E6F"/>
    <w:rsid w:val="00A20366"/>
    <w:rsid w:val="00A2489B"/>
    <w:rsid w:val="00A37183"/>
    <w:rsid w:val="00A64823"/>
    <w:rsid w:val="00A74489"/>
    <w:rsid w:val="00A76615"/>
    <w:rsid w:val="00A94FEC"/>
    <w:rsid w:val="00A9717F"/>
    <w:rsid w:val="00AA3E1F"/>
    <w:rsid w:val="00AC323F"/>
    <w:rsid w:val="00AD512A"/>
    <w:rsid w:val="00B10A2D"/>
    <w:rsid w:val="00B14F68"/>
    <w:rsid w:val="00B17A3B"/>
    <w:rsid w:val="00B26F7E"/>
    <w:rsid w:val="00B2711F"/>
    <w:rsid w:val="00B32BBC"/>
    <w:rsid w:val="00B330C1"/>
    <w:rsid w:val="00B514B0"/>
    <w:rsid w:val="00B55802"/>
    <w:rsid w:val="00B569C8"/>
    <w:rsid w:val="00B64D8B"/>
    <w:rsid w:val="00B65892"/>
    <w:rsid w:val="00B83A40"/>
    <w:rsid w:val="00B91CA4"/>
    <w:rsid w:val="00BA1739"/>
    <w:rsid w:val="00BC6C49"/>
    <w:rsid w:val="00BE000B"/>
    <w:rsid w:val="00BF7318"/>
    <w:rsid w:val="00C1343C"/>
    <w:rsid w:val="00C23D95"/>
    <w:rsid w:val="00C2684E"/>
    <w:rsid w:val="00C37078"/>
    <w:rsid w:val="00C62AE0"/>
    <w:rsid w:val="00C70AC2"/>
    <w:rsid w:val="00C71A51"/>
    <w:rsid w:val="00C8417D"/>
    <w:rsid w:val="00C84F87"/>
    <w:rsid w:val="00C850A1"/>
    <w:rsid w:val="00CA197B"/>
    <w:rsid w:val="00CB76C6"/>
    <w:rsid w:val="00CC12F0"/>
    <w:rsid w:val="00CF4766"/>
    <w:rsid w:val="00D00E75"/>
    <w:rsid w:val="00D02EDF"/>
    <w:rsid w:val="00D171DD"/>
    <w:rsid w:val="00D2171A"/>
    <w:rsid w:val="00D461A3"/>
    <w:rsid w:val="00D54FEF"/>
    <w:rsid w:val="00D56A25"/>
    <w:rsid w:val="00D61FC9"/>
    <w:rsid w:val="00D654AE"/>
    <w:rsid w:val="00D6637B"/>
    <w:rsid w:val="00D85C28"/>
    <w:rsid w:val="00D876DB"/>
    <w:rsid w:val="00DD73E5"/>
    <w:rsid w:val="00DD76CB"/>
    <w:rsid w:val="00DE22EE"/>
    <w:rsid w:val="00DE2504"/>
    <w:rsid w:val="00DE6032"/>
    <w:rsid w:val="00DF37DE"/>
    <w:rsid w:val="00E13623"/>
    <w:rsid w:val="00E940A0"/>
    <w:rsid w:val="00E9479F"/>
    <w:rsid w:val="00E96272"/>
    <w:rsid w:val="00EA18C2"/>
    <w:rsid w:val="00EA194B"/>
    <w:rsid w:val="00EB3C0F"/>
    <w:rsid w:val="00EB3F35"/>
    <w:rsid w:val="00EE44D6"/>
    <w:rsid w:val="00EF0769"/>
    <w:rsid w:val="00EF1475"/>
    <w:rsid w:val="00F05FD2"/>
    <w:rsid w:val="00F06FE5"/>
    <w:rsid w:val="00F10C01"/>
    <w:rsid w:val="00F574B4"/>
    <w:rsid w:val="00F71B05"/>
    <w:rsid w:val="00F7315C"/>
    <w:rsid w:val="00F759C1"/>
    <w:rsid w:val="00FA2BB2"/>
    <w:rsid w:val="00FC2338"/>
    <w:rsid w:val="00FE2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F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5802"/>
    <w:rPr>
      <w:rFonts w:ascii="Tahoma" w:hAnsi="Tahoma" w:cs="Tahoma"/>
      <w:sz w:val="16"/>
      <w:szCs w:val="16"/>
    </w:rPr>
  </w:style>
  <w:style w:type="paragraph" w:styleId="ListParagraph">
    <w:name w:val="List Paragraph"/>
    <w:basedOn w:val="Normal"/>
    <w:uiPriority w:val="34"/>
    <w:qFormat/>
    <w:rsid w:val="00B2711F"/>
    <w:pPr>
      <w:ind w:left="720"/>
      <w:contextualSpacing/>
    </w:pPr>
  </w:style>
  <w:style w:type="paragraph" w:styleId="Header">
    <w:name w:val="header"/>
    <w:basedOn w:val="Normal"/>
    <w:link w:val="HeaderChar"/>
    <w:uiPriority w:val="99"/>
    <w:rsid w:val="006D04A5"/>
    <w:pPr>
      <w:tabs>
        <w:tab w:val="center" w:pos="4680"/>
        <w:tab w:val="right" w:pos="9360"/>
      </w:tabs>
    </w:pPr>
  </w:style>
  <w:style w:type="character" w:customStyle="1" w:styleId="HeaderChar">
    <w:name w:val="Header Char"/>
    <w:basedOn w:val="DefaultParagraphFont"/>
    <w:link w:val="Header"/>
    <w:uiPriority w:val="99"/>
    <w:rsid w:val="006D04A5"/>
    <w:rPr>
      <w:sz w:val="24"/>
      <w:szCs w:val="24"/>
    </w:rPr>
  </w:style>
  <w:style w:type="paragraph" w:styleId="Footer">
    <w:name w:val="footer"/>
    <w:basedOn w:val="Normal"/>
    <w:link w:val="FooterChar"/>
    <w:uiPriority w:val="99"/>
    <w:rsid w:val="006D04A5"/>
    <w:pPr>
      <w:tabs>
        <w:tab w:val="center" w:pos="4680"/>
        <w:tab w:val="right" w:pos="9360"/>
      </w:tabs>
    </w:pPr>
  </w:style>
  <w:style w:type="character" w:customStyle="1" w:styleId="FooterChar">
    <w:name w:val="Footer Char"/>
    <w:basedOn w:val="DefaultParagraphFont"/>
    <w:link w:val="Footer"/>
    <w:uiPriority w:val="99"/>
    <w:rsid w:val="006D04A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Reexamination of Friday the Thirteenth Effect Using Recent Data</vt:lpstr>
    </vt:vector>
  </TitlesOfParts>
  <Company>Hewlett-Packard</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Reexamination of Friday the Thirteenth Effect Using Recent Data</dc:title>
  <dc:creator>home</dc:creator>
  <cp:lastModifiedBy>Office3</cp:lastModifiedBy>
  <cp:revision>6</cp:revision>
  <cp:lastPrinted>2008-12-04T21:18:00Z</cp:lastPrinted>
  <dcterms:created xsi:type="dcterms:W3CDTF">2008-12-04T21:13:00Z</dcterms:created>
  <dcterms:modified xsi:type="dcterms:W3CDTF">2009-02-12T20:02:00Z</dcterms:modified>
</cp:coreProperties>
</file>